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3A1E" w14:textId="23A6A876" w:rsidR="00F46227" w:rsidRDefault="00B82660" w:rsidP="00F46227">
      <w:pPr>
        <w:spacing w:after="100" w:afterAutospacing="1" w:line="360" w:lineRule="auto"/>
        <w:jc w:val="both"/>
        <w:rPr>
          <w:rFonts w:ascii="Arial" w:hAnsi="Arial" w:cs="Arial"/>
          <w:sz w:val="26"/>
          <w:szCs w:val="26"/>
        </w:rPr>
      </w:pPr>
      <w:r>
        <w:rPr>
          <w:rFonts w:ascii="Arial" w:hAnsi="Arial" w:cs="Arial"/>
          <w:sz w:val="26"/>
          <w:szCs w:val="26"/>
        </w:rPr>
        <w:t>DIREITO CONSTITUCIONAL</w:t>
      </w:r>
      <w:r w:rsidR="008E1ED9">
        <w:rPr>
          <w:rFonts w:ascii="Arial" w:hAnsi="Arial" w:cs="Arial"/>
          <w:sz w:val="26"/>
          <w:szCs w:val="26"/>
        </w:rPr>
        <w:t xml:space="preserve"> DPERJ 2021</w:t>
      </w:r>
      <w:r w:rsidR="00F46227" w:rsidRPr="00F46227">
        <w:rPr>
          <w:rFonts w:ascii="Arial" w:hAnsi="Arial" w:cs="Arial"/>
          <w:sz w:val="26"/>
          <w:szCs w:val="26"/>
        </w:rPr>
        <w:t xml:space="preserve"> </w:t>
      </w:r>
      <w:r w:rsidR="00F46227">
        <w:rPr>
          <w:rFonts w:ascii="Arial" w:hAnsi="Arial" w:cs="Arial"/>
          <w:sz w:val="26"/>
          <w:szCs w:val="26"/>
        </w:rPr>
        <w:t>PROVA TIPO 2 VERDE</w:t>
      </w:r>
    </w:p>
    <w:p w14:paraId="3D3FFBCC" w14:textId="07DF7C0D" w:rsidR="00B82660" w:rsidRDefault="00B82660" w:rsidP="00FA6AFD">
      <w:pPr>
        <w:spacing w:after="100" w:afterAutospacing="1" w:line="360" w:lineRule="auto"/>
        <w:ind w:firstLine="1134"/>
        <w:jc w:val="center"/>
        <w:rPr>
          <w:rFonts w:ascii="Arial" w:hAnsi="Arial" w:cs="Arial"/>
          <w:sz w:val="26"/>
          <w:szCs w:val="26"/>
        </w:rPr>
      </w:pPr>
    </w:p>
    <w:p w14:paraId="1472CA88" w14:textId="77777777" w:rsidR="00E73D0F" w:rsidRDefault="00E73D0F" w:rsidP="00FA6AFD">
      <w:pPr>
        <w:spacing w:after="100" w:afterAutospacing="1" w:line="360" w:lineRule="auto"/>
        <w:jc w:val="both"/>
        <w:rPr>
          <w:rFonts w:ascii="Arial" w:hAnsi="Arial" w:cs="Arial"/>
          <w:sz w:val="26"/>
          <w:szCs w:val="26"/>
        </w:rPr>
      </w:pPr>
    </w:p>
    <w:p w14:paraId="1C0286A5" w14:textId="1F2271E9" w:rsidR="000730A4" w:rsidRDefault="000730A4" w:rsidP="00FA6AFD">
      <w:pPr>
        <w:spacing w:after="100" w:afterAutospacing="1" w:line="360" w:lineRule="auto"/>
        <w:jc w:val="both"/>
        <w:rPr>
          <w:rFonts w:ascii="Arial" w:hAnsi="Arial" w:cs="Arial"/>
          <w:sz w:val="26"/>
          <w:szCs w:val="26"/>
        </w:rPr>
      </w:pPr>
      <w:r>
        <w:rPr>
          <w:rFonts w:ascii="Arial" w:hAnsi="Arial" w:cs="Arial"/>
          <w:sz w:val="26"/>
          <w:szCs w:val="26"/>
        </w:rPr>
        <w:t xml:space="preserve">QUESTÃO </w:t>
      </w:r>
      <w:r w:rsidR="008E1ED9">
        <w:rPr>
          <w:rFonts w:ascii="Arial" w:hAnsi="Arial" w:cs="Arial"/>
          <w:sz w:val="26"/>
          <w:szCs w:val="26"/>
        </w:rPr>
        <w:t>66</w:t>
      </w:r>
    </w:p>
    <w:p w14:paraId="314A83CA" w14:textId="7AB8F747" w:rsidR="008E1ED9" w:rsidRPr="008E1ED9" w:rsidRDefault="008E1ED9" w:rsidP="008E1ED9">
      <w:pPr>
        <w:spacing w:after="100" w:afterAutospacing="1" w:line="360" w:lineRule="auto"/>
        <w:jc w:val="both"/>
        <w:rPr>
          <w:rFonts w:ascii="Arial" w:hAnsi="Arial" w:cs="Arial"/>
          <w:sz w:val="26"/>
          <w:szCs w:val="26"/>
        </w:rPr>
      </w:pPr>
      <w:r w:rsidRPr="008E1ED9">
        <w:rPr>
          <w:rFonts w:ascii="Arial" w:hAnsi="Arial" w:cs="Arial"/>
          <w:sz w:val="26"/>
          <w:szCs w:val="26"/>
        </w:rPr>
        <w:t>O Movimento de Mães e Familiares de Vítimas do Estado procura</w:t>
      </w:r>
      <w:r>
        <w:rPr>
          <w:rFonts w:ascii="Arial" w:hAnsi="Arial" w:cs="Arial"/>
          <w:sz w:val="26"/>
          <w:szCs w:val="26"/>
        </w:rPr>
        <w:t xml:space="preserve"> </w:t>
      </w:r>
      <w:r w:rsidRPr="008E1ED9">
        <w:rPr>
          <w:rFonts w:ascii="Arial" w:hAnsi="Arial" w:cs="Arial"/>
          <w:sz w:val="26"/>
          <w:szCs w:val="26"/>
        </w:rPr>
        <w:t>a Defensoria Pública para ingressar como amicus curiae na ADPF</w:t>
      </w:r>
      <w:r>
        <w:rPr>
          <w:rFonts w:ascii="Arial" w:hAnsi="Arial" w:cs="Arial"/>
          <w:sz w:val="26"/>
          <w:szCs w:val="26"/>
        </w:rPr>
        <w:t xml:space="preserve"> </w:t>
      </w:r>
      <w:r w:rsidRPr="008E1ED9">
        <w:rPr>
          <w:rFonts w:ascii="Arial" w:hAnsi="Arial" w:cs="Arial"/>
          <w:sz w:val="26"/>
          <w:szCs w:val="26"/>
        </w:rPr>
        <w:t>635 (texto 2). O Relator da ação nega o pedido dizendo que o</w:t>
      </w:r>
      <w:r>
        <w:rPr>
          <w:rFonts w:ascii="Arial" w:hAnsi="Arial" w:cs="Arial"/>
          <w:sz w:val="26"/>
          <w:szCs w:val="26"/>
        </w:rPr>
        <w:t xml:space="preserve"> </w:t>
      </w:r>
      <w:r w:rsidRPr="008E1ED9">
        <w:rPr>
          <w:rFonts w:ascii="Arial" w:hAnsi="Arial" w:cs="Arial"/>
          <w:sz w:val="26"/>
          <w:szCs w:val="26"/>
        </w:rPr>
        <w:t>grupo não possui personalidade jurídica.</w:t>
      </w:r>
    </w:p>
    <w:p w14:paraId="3C82C998" w14:textId="4811F287" w:rsidR="008E1ED9" w:rsidRPr="008E1ED9" w:rsidRDefault="008E1ED9" w:rsidP="008E1ED9">
      <w:pPr>
        <w:spacing w:after="100" w:afterAutospacing="1" w:line="360" w:lineRule="auto"/>
        <w:jc w:val="both"/>
        <w:rPr>
          <w:rFonts w:ascii="Arial" w:hAnsi="Arial" w:cs="Arial"/>
          <w:sz w:val="26"/>
          <w:szCs w:val="26"/>
        </w:rPr>
      </w:pPr>
      <w:r w:rsidRPr="008E1ED9">
        <w:rPr>
          <w:rFonts w:ascii="Arial" w:hAnsi="Arial" w:cs="Arial"/>
          <w:sz w:val="26"/>
          <w:szCs w:val="26"/>
        </w:rPr>
        <w:t>Com relação à existência de medida cabível para viabilizar a</w:t>
      </w:r>
      <w:r>
        <w:rPr>
          <w:rFonts w:ascii="Arial" w:hAnsi="Arial" w:cs="Arial"/>
          <w:sz w:val="26"/>
          <w:szCs w:val="26"/>
        </w:rPr>
        <w:t xml:space="preserve"> </w:t>
      </w:r>
      <w:r w:rsidRPr="008E1ED9">
        <w:rPr>
          <w:rFonts w:ascii="Arial" w:hAnsi="Arial" w:cs="Arial"/>
          <w:sz w:val="26"/>
          <w:szCs w:val="26"/>
        </w:rPr>
        <w:t>participação do Movimento de Mães e Familiares de Vítimas do</w:t>
      </w:r>
      <w:r>
        <w:rPr>
          <w:rFonts w:ascii="Arial" w:hAnsi="Arial" w:cs="Arial"/>
          <w:sz w:val="26"/>
          <w:szCs w:val="26"/>
        </w:rPr>
        <w:t xml:space="preserve"> </w:t>
      </w:r>
      <w:r w:rsidRPr="008E1ED9">
        <w:rPr>
          <w:rFonts w:ascii="Arial" w:hAnsi="Arial" w:cs="Arial"/>
          <w:sz w:val="26"/>
          <w:szCs w:val="26"/>
        </w:rPr>
        <w:t>Estado na ação, conclui-se que:</w:t>
      </w:r>
    </w:p>
    <w:p w14:paraId="19E91573" w14:textId="4046FC94" w:rsidR="008E1ED9" w:rsidRPr="008E1ED9" w:rsidRDefault="008E1ED9" w:rsidP="008E1ED9">
      <w:pPr>
        <w:spacing w:after="100" w:afterAutospacing="1" w:line="360" w:lineRule="auto"/>
        <w:jc w:val="both"/>
        <w:rPr>
          <w:rFonts w:ascii="Arial" w:hAnsi="Arial" w:cs="Arial"/>
          <w:sz w:val="26"/>
          <w:szCs w:val="26"/>
        </w:rPr>
      </w:pPr>
      <w:r w:rsidRPr="008E1ED9">
        <w:rPr>
          <w:rFonts w:ascii="Arial" w:hAnsi="Arial" w:cs="Arial"/>
          <w:sz w:val="26"/>
          <w:szCs w:val="26"/>
        </w:rPr>
        <w:t>(A) diante da negativa de ingresso como amicus curiae, pode ser</w:t>
      </w:r>
      <w:r>
        <w:rPr>
          <w:rFonts w:ascii="Arial" w:hAnsi="Arial" w:cs="Arial"/>
          <w:sz w:val="26"/>
          <w:szCs w:val="26"/>
        </w:rPr>
        <w:t xml:space="preserve"> </w:t>
      </w:r>
      <w:r w:rsidRPr="008E1ED9">
        <w:rPr>
          <w:rFonts w:ascii="Arial" w:hAnsi="Arial" w:cs="Arial"/>
          <w:sz w:val="26"/>
          <w:szCs w:val="26"/>
        </w:rPr>
        <w:t>suscitado o ingresso na ação na condição de custos</w:t>
      </w:r>
      <w:r>
        <w:rPr>
          <w:rFonts w:ascii="Arial" w:hAnsi="Arial" w:cs="Arial"/>
          <w:sz w:val="26"/>
          <w:szCs w:val="26"/>
        </w:rPr>
        <w:t xml:space="preserve"> </w:t>
      </w:r>
      <w:r w:rsidRPr="008E1ED9">
        <w:rPr>
          <w:rFonts w:ascii="Arial" w:hAnsi="Arial" w:cs="Arial"/>
          <w:sz w:val="26"/>
          <w:szCs w:val="26"/>
        </w:rPr>
        <w:t>vulnerabilis;</w:t>
      </w:r>
    </w:p>
    <w:p w14:paraId="72D0241E" w14:textId="7AFD614F" w:rsidR="008E1ED9" w:rsidRPr="008E1ED9" w:rsidRDefault="008E1ED9" w:rsidP="008E1ED9">
      <w:pPr>
        <w:spacing w:after="100" w:afterAutospacing="1" w:line="360" w:lineRule="auto"/>
        <w:jc w:val="both"/>
        <w:rPr>
          <w:rFonts w:ascii="Arial" w:hAnsi="Arial" w:cs="Arial"/>
          <w:sz w:val="26"/>
          <w:szCs w:val="26"/>
        </w:rPr>
      </w:pPr>
      <w:r w:rsidRPr="008E1ED9">
        <w:rPr>
          <w:rFonts w:ascii="Arial" w:hAnsi="Arial" w:cs="Arial"/>
          <w:sz w:val="26"/>
          <w:szCs w:val="26"/>
        </w:rPr>
        <w:t>(B) não pode ser tomada nenhuma medida porque a</w:t>
      </w:r>
      <w:r>
        <w:rPr>
          <w:rFonts w:ascii="Arial" w:hAnsi="Arial" w:cs="Arial"/>
          <w:sz w:val="26"/>
          <w:szCs w:val="26"/>
        </w:rPr>
        <w:t xml:space="preserve"> </w:t>
      </w:r>
      <w:r w:rsidRPr="008E1ED9">
        <w:rPr>
          <w:rFonts w:ascii="Arial" w:hAnsi="Arial" w:cs="Arial"/>
          <w:sz w:val="26"/>
          <w:szCs w:val="26"/>
        </w:rPr>
        <w:t>personalidade jurídica é condição sine qua non para ser</w:t>
      </w:r>
      <w:r>
        <w:rPr>
          <w:rFonts w:ascii="Arial" w:hAnsi="Arial" w:cs="Arial"/>
          <w:sz w:val="26"/>
          <w:szCs w:val="26"/>
        </w:rPr>
        <w:t xml:space="preserve"> </w:t>
      </w:r>
      <w:r w:rsidRPr="008E1ED9">
        <w:rPr>
          <w:rFonts w:ascii="Arial" w:hAnsi="Arial" w:cs="Arial"/>
          <w:sz w:val="26"/>
          <w:szCs w:val="26"/>
        </w:rPr>
        <w:t>admitido como amicus curiae;</w:t>
      </w:r>
    </w:p>
    <w:p w14:paraId="5A00F17D" w14:textId="17E0B9E3" w:rsidR="008E1ED9" w:rsidRPr="008E1ED9" w:rsidRDefault="008E1ED9" w:rsidP="008E1ED9">
      <w:pPr>
        <w:spacing w:after="100" w:afterAutospacing="1" w:line="360" w:lineRule="auto"/>
        <w:jc w:val="both"/>
        <w:rPr>
          <w:rFonts w:ascii="Arial" w:hAnsi="Arial" w:cs="Arial"/>
          <w:sz w:val="26"/>
          <w:szCs w:val="26"/>
        </w:rPr>
      </w:pPr>
      <w:r w:rsidRPr="008E1ED9">
        <w:rPr>
          <w:rFonts w:ascii="Arial" w:hAnsi="Arial" w:cs="Arial"/>
          <w:sz w:val="26"/>
          <w:szCs w:val="26"/>
        </w:rPr>
        <w:t>(C) não pode ser tomada nenhuma medida porque falta</w:t>
      </w:r>
      <w:r>
        <w:rPr>
          <w:rFonts w:ascii="Arial" w:hAnsi="Arial" w:cs="Arial"/>
          <w:sz w:val="26"/>
          <w:szCs w:val="26"/>
        </w:rPr>
        <w:t xml:space="preserve"> </w:t>
      </w:r>
      <w:r w:rsidRPr="008E1ED9">
        <w:rPr>
          <w:rFonts w:ascii="Arial" w:hAnsi="Arial" w:cs="Arial"/>
          <w:sz w:val="26"/>
          <w:szCs w:val="26"/>
        </w:rPr>
        <w:t>atribuição à Defensoria Pública do Estado do Rio de Janeiro</w:t>
      </w:r>
      <w:r>
        <w:rPr>
          <w:rFonts w:ascii="Arial" w:hAnsi="Arial" w:cs="Arial"/>
          <w:sz w:val="26"/>
          <w:szCs w:val="26"/>
        </w:rPr>
        <w:t xml:space="preserve"> </w:t>
      </w:r>
      <w:r w:rsidRPr="008E1ED9">
        <w:rPr>
          <w:rFonts w:ascii="Arial" w:hAnsi="Arial" w:cs="Arial"/>
          <w:sz w:val="26"/>
          <w:szCs w:val="26"/>
        </w:rPr>
        <w:t>para figurar como representante de amicus curiae no</w:t>
      </w:r>
      <w:r>
        <w:rPr>
          <w:rFonts w:ascii="Arial" w:hAnsi="Arial" w:cs="Arial"/>
          <w:sz w:val="26"/>
          <w:szCs w:val="26"/>
        </w:rPr>
        <w:t xml:space="preserve"> </w:t>
      </w:r>
      <w:r w:rsidRPr="008E1ED9">
        <w:rPr>
          <w:rFonts w:ascii="Arial" w:hAnsi="Arial" w:cs="Arial"/>
          <w:sz w:val="26"/>
          <w:szCs w:val="26"/>
        </w:rPr>
        <w:t>Supremo Tribunal Federal;</w:t>
      </w:r>
    </w:p>
    <w:p w14:paraId="09438ED1" w14:textId="5395B9A5" w:rsidR="008E1ED9" w:rsidRPr="008E1ED9" w:rsidRDefault="008E1ED9" w:rsidP="008E1ED9">
      <w:pPr>
        <w:spacing w:after="100" w:afterAutospacing="1" w:line="360" w:lineRule="auto"/>
        <w:jc w:val="both"/>
        <w:rPr>
          <w:rFonts w:ascii="Arial" w:hAnsi="Arial" w:cs="Arial"/>
          <w:sz w:val="26"/>
          <w:szCs w:val="26"/>
        </w:rPr>
      </w:pPr>
      <w:r w:rsidRPr="008E1ED9">
        <w:rPr>
          <w:rFonts w:ascii="Arial" w:hAnsi="Arial" w:cs="Arial"/>
          <w:sz w:val="26"/>
          <w:szCs w:val="26"/>
        </w:rPr>
        <w:t>(D) diante da negativa, pode a Defensoria Pública do Estado do</w:t>
      </w:r>
      <w:r>
        <w:rPr>
          <w:rFonts w:ascii="Arial" w:hAnsi="Arial" w:cs="Arial"/>
          <w:sz w:val="26"/>
          <w:szCs w:val="26"/>
        </w:rPr>
        <w:t xml:space="preserve"> </w:t>
      </w:r>
      <w:r w:rsidRPr="008E1ED9">
        <w:rPr>
          <w:rFonts w:ascii="Arial" w:hAnsi="Arial" w:cs="Arial"/>
          <w:sz w:val="26"/>
          <w:szCs w:val="26"/>
        </w:rPr>
        <w:t>Rio de Janeiro requerer, em nome próprio, a sua admissão</w:t>
      </w:r>
      <w:r>
        <w:rPr>
          <w:rFonts w:ascii="Arial" w:hAnsi="Arial" w:cs="Arial"/>
          <w:sz w:val="26"/>
          <w:szCs w:val="26"/>
        </w:rPr>
        <w:t xml:space="preserve"> </w:t>
      </w:r>
      <w:r w:rsidRPr="008E1ED9">
        <w:rPr>
          <w:rFonts w:ascii="Arial" w:hAnsi="Arial" w:cs="Arial"/>
          <w:sz w:val="26"/>
          <w:szCs w:val="26"/>
        </w:rPr>
        <w:t>como amicus curiae para defesa dos interesses do</w:t>
      </w:r>
      <w:r>
        <w:rPr>
          <w:rFonts w:ascii="Arial" w:hAnsi="Arial" w:cs="Arial"/>
          <w:sz w:val="26"/>
          <w:szCs w:val="26"/>
        </w:rPr>
        <w:t xml:space="preserve"> </w:t>
      </w:r>
      <w:r w:rsidRPr="008E1ED9">
        <w:rPr>
          <w:rFonts w:ascii="Arial" w:hAnsi="Arial" w:cs="Arial"/>
          <w:sz w:val="26"/>
          <w:szCs w:val="26"/>
        </w:rPr>
        <w:t>Movimento de Mães e Familiares de Vítimas do Estado;</w:t>
      </w:r>
    </w:p>
    <w:p w14:paraId="6BA2BA02" w14:textId="77777777" w:rsidR="008E1ED9" w:rsidRDefault="008E1ED9" w:rsidP="008E1ED9">
      <w:pPr>
        <w:spacing w:after="100" w:afterAutospacing="1" w:line="360" w:lineRule="auto"/>
        <w:jc w:val="both"/>
        <w:rPr>
          <w:rFonts w:ascii="Arial" w:hAnsi="Arial" w:cs="Arial"/>
          <w:sz w:val="26"/>
          <w:szCs w:val="26"/>
        </w:rPr>
      </w:pPr>
      <w:r w:rsidRPr="008E1ED9">
        <w:rPr>
          <w:rFonts w:ascii="Arial" w:hAnsi="Arial" w:cs="Arial"/>
          <w:sz w:val="26"/>
          <w:szCs w:val="26"/>
        </w:rPr>
        <w:t>(E) diante da negativa, deverá apresentar petição requerendo a</w:t>
      </w:r>
      <w:r>
        <w:rPr>
          <w:rFonts w:ascii="Arial" w:hAnsi="Arial" w:cs="Arial"/>
          <w:sz w:val="26"/>
          <w:szCs w:val="26"/>
        </w:rPr>
        <w:t xml:space="preserve"> </w:t>
      </w:r>
      <w:r w:rsidRPr="008E1ED9">
        <w:rPr>
          <w:rFonts w:ascii="Arial" w:hAnsi="Arial" w:cs="Arial"/>
          <w:sz w:val="26"/>
          <w:szCs w:val="26"/>
        </w:rPr>
        <w:t>reconsideração da decisão que negou a admissão como</w:t>
      </w:r>
      <w:r>
        <w:rPr>
          <w:rFonts w:ascii="Arial" w:hAnsi="Arial" w:cs="Arial"/>
          <w:sz w:val="26"/>
          <w:szCs w:val="26"/>
        </w:rPr>
        <w:t xml:space="preserve"> </w:t>
      </w:r>
      <w:r w:rsidRPr="008E1ED9">
        <w:rPr>
          <w:rFonts w:ascii="Arial" w:hAnsi="Arial" w:cs="Arial"/>
          <w:sz w:val="26"/>
          <w:szCs w:val="26"/>
        </w:rPr>
        <w:t>amicus curiae, para garantia do acesso à justiça, que exige a</w:t>
      </w:r>
      <w:r>
        <w:rPr>
          <w:rFonts w:ascii="Arial" w:hAnsi="Arial" w:cs="Arial"/>
          <w:sz w:val="26"/>
          <w:szCs w:val="26"/>
        </w:rPr>
        <w:t xml:space="preserve"> </w:t>
      </w:r>
      <w:r w:rsidRPr="008E1ED9">
        <w:rPr>
          <w:rFonts w:ascii="Arial" w:hAnsi="Arial" w:cs="Arial"/>
          <w:sz w:val="26"/>
          <w:szCs w:val="26"/>
        </w:rPr>
        <w:t>ampla participação das familiares em todas as etapas da</w:t>
      </w:r>
      <w:r>
        <w:rPr>
          <w:rFonts w:ascii="Arial" w:hAnsi="Arial" w:cs="Arial"/>
          <w:sz w:val="26"/>
          <w:szCs w:val="26"/>
        </w:rPr>
        <w:t xml:space="preserve"> </w:t>
      </w:r>
      <w:r w:rsidRPr="008E1ED9">
        <w:rPr>
          <w:rFonts w:ascii="Arial" w:hAnsi="Arial" w:cs="Arial"/>
          <w:sz w:val="26"/>
          <w:szCs w:val="26"/>
        </w:rPr>
        <w:t>investigação ou ação penal, notadamente em casos de</w:t>
      </w:r>
      <w:r>
        <w:rPr>
          <w:rFonts w:ascii="Arial" w:hAnsi="Arial" w:cs="Arial"/>
          <w:sz w:val="26"/>
          <w:szCs w:val="26"/>
        </w:rPr>
        <w:t xml:space="preserve"> </w:t>
      </w:r>
      <w:r w:rsidRPr="008E1ED9">
        <w:rPr>
          <w:rFonts w:ascii="Arial" w:hAnsi="Arial" w:cs="Arial"/>
          <w:sz w:val="26"/>
          <w:szCs w:val="26"/>
        </w:rPr>
        <w:t>privação arbitrária do direito à vida que impliquem agentes</w:t>
      </w:r>
      <w:r>
        <w:rPr>
          <w:rFonts w:ascii="Arial" w:hAnsi="Arial" w:cs="Arial"/>
          <w:sz w:val="26"/>
          <w:szCs w:val="26"/>
        </w:rPr>
        <w:t xml:space="preserve"> </w:t>
      </w:r>
      <w:r w:rsidRPr="008E1ED9">
        <w:rPr>
          <w:rFonts w:ascii="Arial" w:hAnsi="Arial" w:cs="Arial"/>
          <w:sz w:val="26"/>
          <w:szCs w:val="26"/>
        </w:rPr>
        <w:t>estatais.</w:t>
      </w:r>
    </w:p>
    <w:p w14:paraId="4BE18415" w14:textId="254F3B4D" w:rsidR="001D0BFB" w:rsidRPr="00B245B5" w:rsidRDefault="001D0BFB" w:rsidP="008E1ED9">
      <w:pPr>
        <w:spacing w:after="100" w:afterAutospacing="1" w:line="360" w:lineRule="auto"/>
        <w:jc w:val="both"/>
        <w:rPr>
          <w:rFonts w:ascii="Arial" w:hAnsi="Arial" w:cs="Arial"/>
          <w:sz w:val="26"/>
          <w:szCs w:val="26"/>
        </w:rPr>
      </w:pPr>
      <w:r w:rsidRPr="00B245B5">
        <w:rPr>
          <w:rFonts w:ascii="Arial" w:hAnsi="Arial" w:cs="Arial"/>
          <w:sz w:val="26"/>
          <w:szCs w:val="26"/>
        </w:rPr>
        <w:t>Comentários</w:t>
      </w:r>
    </w:p>
    <w:p w14:paraId="55DC3BC7" w14:textId="50F88705" w:rsidR="000C5C72" w:rsidRDefault="001D0BFB" w:rsidP="000C5C72">
      <w:pPr>
        <w:spacing w:after="100" w:afterAutospacing="1" w:line="360" w:lineRule="auto"/>
        <w:ind w:firstLine="1134"/>
        <w:jc w:val="both"/>
        <w:rPr>
          <w:rFonts w:ascii="Arial" w:hAnsi="Arial" w:cs="Arial"/>
          <w:sz w:val="26"/>
          <w:szCs w:val="26"/>
        </w:rPr>
      </w:pPr>
      <w:r>
        <w:rPr>
          <w:rFonts w:ascii="Arial" w:hAnsi="Arial" w:cs="Arial"/>
          <w:sz w:val="26"/>
          <w:szCs w:val="26"/>
        </w:rPr>
        <w:t xml:space="preserve">A </w:t>
      </w:r>
      <w:r w:rsidR="008E1ED9">
        <w:rPr>
          <w:rFonts w:ascii="Arial" w:hAnsi="Arial" w:cs="Arial"/>
          <w:sz w:val="26"/>
          <w:szCs w:val="26"/>
        </w:rPr>
        <w:t>questão 66 merece ser anulada, porquanto apresenta duas alternativas correta.</w:t>
      </w:r>
      <w:r w:rsidR="00FE04FD">
        <w:rPr>
          <w:rFonts w:ascii="Arial" w:hAnsi="Arial" w:cs="Arial"/>
          <w:sz w:val="26"/>
          <w:szCs w:val="26"/>
        </w:rPr>
        <w:t xml:space="preserve"> </w:t>
      </w:r>
      <w:r w:rsidR="008E1ED9">
        <w:rPr>
          <w:rFonts w:ascii="Arial" w:hAnsi="Arial" w:cs="Arial"/>
          <w:sz w:val="26"/>
          <w:szCs w:val="26"/>
        </w:rPr>
        <w:t>O gabarito preliminar apresenta a letra “E” como o item a ser assinalado. Todavia, a letra “D” também está correta.</w:t>
      </w:r>
    </w:p>
    <w:p w14:paraId="2D393834" w14:textId="2F3305B4" w:rsidR="008E1ED9" w:rsidRDefault="000C5C72" w:rsidP="000C5C72">
      <w:pPr>
        <w:spacing w:after="100" w:afterAutospacing="1" w:line="360" w:lineRule="auto"/>
        <w:ind w:firstLine="1134"/>
        <w:jc w:val="both"/>
        <w:rPr>
          <w:rFonts w:ascii="Arial" w:hAnsi="Arial" w:cs="Arial"/>
          <w:sz w:val="26"/>
          <w:szCs w:val="26"/>
        </w:rPr>
      </w:pPr>
      <w:r>
        <w:rPr>
          <w:rFonts w:ascii="Arial" w:hAnsi="Arial" w:cs="Arial"/>
          <w:sz w:val="26"/>
          <w:szCs w:val="26"/>
        </w:rPr>
        <w:t>D</w:t>
      </w:r>
      <w:r w:rsidRPr="008E1ED9">
        <w:rPr>
          <w:rFonts w:ascii="Arial" w:hAnsi="Arial" w:cs="Arial"/>
          <w:sz w:val="26"/>
          <w:szCs w:val="26"/>
        </w:rPr>
        <w:t>iante da negativa</w:t>
      </w:r>
      <w:r>
        <w:rPr>
          <w:rFonts w:ascii="Arial" w:hAnsi="Arial" w:cs="Arial"/>
          <w:sz w:val="26"/>
          <w:szCs w:val="26"/>
        </w:rPr>
        <w:t xml:space="preserve"> ao</w:t>
      </w:r>
      <w:r w:rsidRPr="008E1ED9">
        <w:rPr>
          <w:rFonts w:ascii="Arial" w:hAnsi="Arial" w:cs="Arial"/>
          <w:sz w:val="26"/>
          <w:szCs w:val="26"/>
        </w:rPr>
        <w:t xml:space="preserve"> Movimento de Mães e Familiares de Vítimas do Estado para ingressar como amicus curiae na ADPF</w:t>
      </w:r>
      <w:r>
        <w:rPr>
          <w:rFonts w:ascii="Arial" w:hAnsi="Arial" w:cs="Arial"/>
          <w:sz w:val="26"/>
          <w:szCs w:val="26"/>
        </w:rPr>
        <w:t xml:space="preserve"> </w:t>
      </w:r>
      <w:r w:rsidRPr="008E1ED9">
        <w:rPr>
          <w:rFonts w:ascii="Arial" w:hAnsi="Arial" w:cs="Arial"/>
          <w:sz w:val="26"/>
          <w:szCs w:val="26"/>
        </w:rPr>
        <w:t xml:space="preserve">635, </w:t>
      </w:r>
      <w:r>
        <w:rPr>
          <w:rFonts w:ascii="Arial" w:hAnsi="Arial" w:cs="Arial"/>
          <w:sz w:val="26"/>
          <w:szCs w:val="26"/>
        </w:rPr>
        <w:t>a atuação da Defensoria Pública</w:t>
      </w:r>
      <w:r w:rsidR="00FE04FD">
        <w:rPr>
          <w:rFonts w:ascii="Arial" w:hAnsi="Arial" w:cs="Arial"/>
          <w:sz w:val="26"/>
          <w:szCs w:val="26"/>
        </w:rPr>
        <w:t xml:space="preserve">, ante as </w:t>
      </w:r>
      <w:r w:rsidR="00D12088">
        <w:rPr>
          <w:rFonts w:ascii="Arial" w:hAnsi="Arial" w:cs="Arial"/>
          <w:sz w:val="26"/>
          <w:szCs w:val="26"/>
        </w:rPr>
        <w:t>alternativas apresentadas,</w:t>
      </w:r>
      <w:r>
        <w:rPr>
          <w:rFonts w:ascii="Arial" w:hAnsi="Arial" w:cs="Arial"/>
          <w:sz w:val="26"/>
          <w:szCs w:val="26"/>
        </w:rPr>
        <w:t xml:space="preserve"> pode ocorrer de duas maneiras: 1) </w:t>
      </w:r>
      <w:r w:rsidRPr="008E1ED9">
        <w:rPr>
          <w:rFonts w:ascii="Arial" w:hAnsi="Arial" w:cs="Arial"/>
          <w:sz w:val="26"/>
          <w:szCs w:val="26"/>
        </w:rPr>
        <w:t>apresentar petição requerendo a</w:t>
      </w:r>
      <w:r>
        <w:rPr>
          <w:rFonts w:ascii="Arial" w:hAnsi="Arial" w:cs="Arial"/>
          <w:sz w:val="26"/>
          <w:szCs w:val="26"/>
        </w:rPr>
        <w:t xml:space="preserve"> </w:t>
      </w:r>
      <w:r w:rsidRPr="008E1ED9">
        <w:rPr>
          <w:rFonts w:ascii="Arial" w:hAnsi="Arial" w:cs="Arial"/>
          <w:sz w:val="26"/>
          <w:szCs w:val="26"/>
        </w:rPr>
        <w:t>reconsideração da decisão que negou a admissão como</w:t>
      </w:r>
      <w:r>
        <w:rPr>
          <w:rFonts w:ascii="Arial" w:hAnsi="Arial" w:cs="Arial"/>
          <w:sz w:val="26"/>
          <w:szCs w:val="26"/>
        </w:rPr>
        <w:t xml:space="preserve"> </w:t>
      </w:r>
      <w:r w:rsidRPr="008E1ED9">
        <w:rPr>
          <w:rFonts w:ascii="Arial" w:hAnsi="Arial" w:cs="Arial"/>
          <w:sz w:val="26"/>
          <w:szCs w:val="26"/>
        </w:rPr>
        <w:t>amicus curiae, para garantia do acesso à justiça, que exige a</w:t>
      </w:r>
      <w:r>
        <w:rPr>
          <w:rFonts w:ascii="Arial" w:hAnsi="Arial" w:cs="Arial"/>
          <w:sz w:val="26"/>
          <w:szCs w:val="26"/>
        </w:rPr>
        <w:t xml:space="preserve"> </w:t>
      </w:r>
      <w:r w:rsidRPr="008E1ED9">
        <w:rPr>
          <w:rFonts w:ascii="Arial" w:hAnsi="Arial" w:cs="Arial"/>
          <w:sz w:val="26"/>
          <w:szCs w:val="26"/>
        </w:rPr>
        <w:t>ampla participação das familiares em todas as etapas da</w:t>
      </w:r>
      <w:r>
        <w:rPr>
          <w:rFonts w:ascii="Arial" w:hAnsi="Arial" w:cs="Arial"/>
          <w:sz w:val="26"/>
          <w:szCs w:val="26"/>
        </w:rPr>
        <w:t xml:space="preserve"> </w:t>
      </w:r>
      <w:r w:rsidRPr="008E1ED9">
        <w:rPr>
          <w:rFonts w:ascii="Arial" w:hAnsi="Arial" w:cs="Arial"/>
          <w:sz w:val="26"/>
          <w:szCs w:val="26"/>
        </w:rPr>
        <w:t>investigação ou ação penal, notadamente em casos de</w:t>
      </w:r>
      <w:r>
        <w:rPr>
          <w:rFonts w:ascii="Arial" w:hAnsi="Arial" w:cs="Arial"/>
          <w:sz w:val="26"/>
          <w:szCs w:val="26"/>
        </w:rPr>
        <w:t xml:space="preserve"> </w:t>
      </w:r>
      <w:r w:rsidRPr="008E1ED9">
        <w:rPr>
          <w:rFonts w:ascii="Arial" w:hAnsi="Arial" w:cs="Arial"/>
          <w:sz w:val="26"/>
          <w:szCs w:val="26"/>
        </w:rPr>
        <w:t>privação arbitrária do direito à vida que impliquem agentes</w:t>
      </w:r>
      <w:r>
        <w:rPr>
          <w:rFonts w:ascii="Arial" w:hAnsi="Arial" w:cs="Arial"/>
          <w:sz w:val="26"/>
          <w:szCs w:val="26"/>
        </w:rPr>
        <w:t xml:space="preserve"> </w:t>
      </w:r>
      <w:r w:rsidRPr="008E1ED9">
        <w:rPr>
          <w:rFonts w:ascii="Arial" w:hAnsi="Arial" w:cs="Arial"/>
          <w:sz w:val="26"/>
          <w:szCs w:val="26"/>
        </w:rPr>
        <w:t>estatais</w:t>
      </w:r>
      <w:r>
        <w:rPr>
          <w:rFonts w:ascii="Arial" w:hAnsi="Arial" w:cs="Arial"/>
          <w:sz w:val="26"/>
          <w:szCs w:val="26"/>
        </w:rPr>
        <w:t xml:space="preserve">; 2) </w:t>
      </w:r>
      <w:r w:rsidRPr="008E1ED9">
        <w:rPr>
          <w:rFonts w:ascii="Arial" w:hAnsi="Arial" w:cs="Arial"/>
          <w:sz w:val="26"/>
          <w:szCs w:val="26"/>
        </w:rPr>
        <w:t>requerer, em nome próprio, a sua admissão</w:t>
      </w:r>
      <w:r>
        <w:rPr>
          <w:rFonts w:ascii="Arial" w:hAnsi="Arial" w:cs="Arial"/>
          <w:sz w:val="26"/>
          <w:szCs w:val="26"/>
        </w:rPr>
        <w:t xml:space="preserve"> </w:t>
      </w:r>
      <w:r w:rsidRPr="008E1ED9">
        <w:rPr>
          <w:rFonts w:ascii="Arial" w:hAnsi="Arial" w:cs="Arial"/>
          <w:sz w:val="26"/>
          <w:szCs w:val="26"/>
        </w:rPr>
        <w:t>como amicus curiae para defesa dos interesses do</w:t>
      </w:r>
      <w:r>
        <w:rPr>
          <w:rFonts w:ascii="Arial" w:hAnsi="Arial" w:cs="Arial"/>
          <w:sz w:val="26"/>
          <w:szCs w:val="26"/>
        </w:rPr>
        <w:t xml:space="preserve"> </w:t>
      </w:r>
      <w:r w:rsidRPr="008E1ED9">
        <w:rPr>
          <w:rFonts w:ascii="Arial" w:hAnsi="Arial" w:cs="Arial"/>
          <w:sz w:val="26"/>
          <w:szCs w:val="26"/>
        </w:rPr>
        <w:t>Movimento de Mães e Familiares de Vítimas do Estado</w:t>
      </w:r>
      <w:r>
        <w:rPr>
          <w:rFonts w:ascii="Arial" w:hAnsi="Arial" w:cs="Arial"/>
          <w:sz w:val="26"/>
          <w:szCs w:val="26"/>
        </w:rPr>
        <w:t>.</w:t>
      </w:r>
    </w:p>
    <w:p w14:paraId="01915538" w14:textId="5DE3E688" w:rsidR="000C5C72" w:rsidRDefault="00D12088" w:rsidP="000C5C72">
      <w:pPr>
        <w:spacing w:after="100" w:afterAutospacing="1" w:line="360" w:lineRule="auto"/>
        <w:ind w:firstLine="1134"/>
        <w:jc w:val="both"/>
        <w:rPr>
          <w:rFonts w:ascii="Arial" w:hAnsi="Arial" w:cs="Arial"/>
          <w:sz w:val="26"/>
          <w:szCs w:val="26"/>
        </w:rPr>
      </w:pPr>
      <w:r>
        <w:rPr>
          <w:rFonts w:ascii="Arial" w:hAnsi="Arial" w:cs="Arial"/>
          <w:sz w:val="26"/>
          <w:szCs w:val="26"/>
        </w:rPr>
        <w:t xml:space="preserve">Em que pese </w:t>
      </w:r>
      <w:r w:rsidR="00AA3B48">
        <w:rPr>
          <w:rFonts w:ascii="Arial" w:hAnsi="Arial" w:cs="Arial"/>
          <w:sz w:val="26"/>
          <w:szCs w:val="26"/>
        </w:rPr>
        <w:t xml:space="preserve">o baixo grau de sucesso nos pedidos de reconsideração, é uma hipótese que não pode ser afastada, haja vista jurisprudência vacilante do Supremo Tribunal Federal em admitir recurso diante da </w:t>
      </w:r>
      <w:r w:rsidR="00B673A4">
        <w:rPr>
          <w:rFonts w:ascii="Arial" w:hAnsi="Arial" w:cs="Arial"/>
          <w:sz w:val="26"/>
          <w:szCs w:val="26"/>
        </w:rPr>
        <w:t>negativa de admissibilidade de amicus curiae</w:t>
      </w:r>
      <w:r w:rsidR="006345EA">
        <w:rPr>
          <w:rFonts w:ascii="Arial" w:hAnsi="Arial" w:cs="Arial"/>
          <w:sz w:val="26"/>
          <w:szCs w:val="26"/>
        </w:rPr>
        <w:t>, conforme julgados abaixo:</w:t>
      </w:r>
    </w:p>
    <w:p w14:paraId="0B0FCC19" w14:textId="394760F5" w:rsidR="006345EA" w:rsidRPr="00F46227" w:rsidRDefault="00F46227" w:rsidP="006345EA">
      <w:pPr>
        <w:spacing w:after="100" w:afterAutospacing="1" w:line="360" w:lineRule="auto"/>
        <w:ind w:left="2268"/>
        <w:jc w:val="both"/>
        <w:rPr>
          <w:rFonts w:ascii="Arial" w:hAnsi="Arial" w:cs="Arial"/>
          <w:i/>
          <w:iCs/>
          <w:sz w:val="26"/>
          <w:szCs w:val="26"/>
        </w:rPr>
      </w:pPr>
      <w:r w:rsidRPr="00F46227">
        <w:rPr>
          <w:rFonts w:ascii="Arial" w:hAnsi="Arial" w:cs="Arial"/>
          <w:i/>
          <w:iCs/>
          <w:sz w:val="26"/>
          <w:szCs w:val="26"/>
        </w:rPr>
        <w:t>“</w:t>
      </w:r>
      <w:r w:rsidR="006345EA" w:rsidRPr="00F46227">
        <w:rPr>
          <w:rFonts w:ascii="Arial" w:hAnsi="Arial" w:cs="Arial"/>
          <w:i/>
          <w:iCs/>
          <w:sz w:val="26"/>
          <w:szCs w:val="26"/>
        </w:rPr>
        <w:t>É recorrível a decisão denegatória de ingresso no feito como amicus curiae. É possível a impugnação recursal por parte de terceiro, quando denegada sua participação na qualidade de amicus curiae. (STF, Plenário, ADI 3396 AgR/DF, Rel. Min. Celso de Mello, julgado em 6/8/2020,</w:t>
      </w:r>
      <w:r w:rsidR="00AB0DB1" w:rsidRPr="00F46227">
        <w:rPr>
          <w:rFonts w:ascii="Arial" w:hAnsi="Arial" w:cs="Arial"/>
          <w:i/>
          <w:iCs/>
          <w:sz w:val="26"/>
          <w:szCs w:val="26"/>
        </w:rPr>
        <w:t xml:space="preserve"> </w:t>
      </w:r>
      <w:r w:rsidR="006345EA" w:rsidRPr="00F46227">
        <w:rPr>
          <w:rFonts w:ascii="Arial" w:hAnsi="Arial" w:cs="Arial"/>
          <w:i/>
          <w:iCs/>
          <w:sz w:val="26"/>
          <w:szCs w:val="26"/>
        </w:rPr>
        <w:t>Info 985).</w:t>
      </w:r>
    </w:p>
    <w:p w14:paraId="2CEEE5B6" w14:textId="437B7B90" w:rsidR="006345EA" w:rsidRPr="00F46227" w:rsidRDefault="00AB0DB1" w:rsidP="00AB0DB1">
      <w:pPr>
        <w:spacing w:after="100" w:afterAutospacing="1" w:line="360" w:lineRule="auto"/>
        <w:ind w:left="2268"/>
        <w:jc w:val="both"/>
        <w:rPr>
          <w:rFonts w:ascii="Arial" w:hAnsi="Arial" w:cs="Arial"/>
          <w:i/>
          <w:iCs/>
          <w:sz w:val="26"/>
          <w:szCs w:val="26"/>
        </w:rPr>
      </w:pPr>
      <w:r w:rsidRPr="00F46227">
        <w:rPr>
          <w:rFonts w:ascii="Arial" w:hAnsi="Arial" w:cs="Arial"/>
          <w:i/>
          <w:iCs/>
          <w:sz w:val="26"/>
          <w:szCs w:val="26"/>
        </w:rPr>
        <w:t>Tanto a decisão do Relator que ADMITE como a que INADMITE o ingresso do amicus curiae é irrecorrível. (STF, Plenário, RE 602584 AgR/DF, rel. orig. Min. Marco Aurélio, red. p/ o ac. Min. Luiz Fux, julgado em 17/10/2018, Info 920).</w:t>
      </w:r>
      <w:r w:rsidR="00F46227" w:rsidRPr="00F46227">
        <w:rPr>
          <w:rFonts w:ascii="Arial" w:hAnsi="Arial" w:cs="Arial"/>
          <w:i/>
          <w:iCs/>
          <w:sz w:val="26"/>
          <w:szCs w:val="26"/>
        </w:rPr>
        <w:t>”</w:t>
      </w:r>
    </w:p>
    <w:p w14:paraId="2037734B" w14:textId="77777777" w:rsidR="00F46227" w:rsidRDefault="000C5C72" w:rsidP="000C5C72">
      <w:pPr>
        <w:spacing w:after="100" w:afterAutospacing="1" w:line="360" w:lineRule="auto"/>
        <w:ind w:firstLine="1134"/>
        <w:jc w:val="both"/>
        <w:rPr>
          <w:rFonts w:ascii="Arial" w:hAnsi="Arial" w:cs="Arial"/>
          <w:sz w:val="26"/>
          <w:szCs w:val="26"/>
        </w:rPr>
      </w:pPr>
      <w:r>
        <w:rPr>
          <w:rFonts w:ascii="Arial" w:hAnsi="Arial" w:cs="Arial"/>
          <w:sz w:val="26"/>
          <w:szCs w:val="26"/>
        </w:rPr>
        <w:t>Quanto à atuação da Defensoria Pública como amicus curiae, tem-se que o</w:t>
      </w:r>
      <w:r w:rsidRPr="000C5C72">
        <w:rPr>
          <w:rFonts w:ascii="Arial" w:hAnsi="Arial" w:cs="Arial"/>
          <w:sz w:val="26"/>
          <w:szCs w:val="26"/>
        </w:rPr>
        <w:t xml:space="preserve"> amicus curiae </w:t>
      </w:r>
      <w:r>
        <w:rPr>
          <w:rFonts w:ascii="Arial" w:hAnsi="Arial" w:cs="Arial"/>
          <w:sz w:val="26"/>
          <w:szCs w:val="26"/>
        </w:rPr>
        <w:t>(</w:t>
      </w:r>
      <w:r w:rsidRPr="000C5C72">
        <w:rPr>
          <w:rFonts w:ascii="Arial" w:hAnsi="Arial" w:cs="Arial"/>
          <w:sz w:val="26"/>
          <w:szCs w:val="26"/>
        </w:rPr>
        <w:t>amigo da corte ou colaborador da corte</w:t>
      </w:r>
      <w:r>
        <w:rPr>
          <w:rFonts w:ascii="Arial" w:hAnsi="Arial" w:cs="Arial"/>
          <w:sz w:val="26"/>
          <w:szCs w:val="26"/>
        </w:rPr>
        <w:t>),</w:t>
      </w:r>
      <w:r w:rsidRPr="000C5C72">
        <w:rPr>
          <w:rFonts w:ascii="Arial" w:hAnsi="Arial" w:cs="Arial"/>
          <w:sz w:val="26"/>
          <w:szCs w:val="26"/>
        </w:rPr>
        <w:t xml:space="preserve"> quando demonstrar adequada representatividade e possibilidade de contribuir para a solução da causa em juízo, desempenhará papel atrelado a um “interesse institucional” (metaindividual)</w:t>
      </w:r>
      <w:r>
        <w:rPr>
          <w:rFonts w:ascii="Arial" w:hAnsi="Arial" w:cs="Arial"/>
          <w:sz w:val="26"/>
          <w:szCs w:val="26"/>
        </w:rPr>
        <w:t>.</w:t>
      </w:r>
      <w:r w:rsidR="00952291">
        <w:rPr>
          <w:rFonts w:ascii="Arial" w:hAnsi="Arial" w:cs="Arial"/>
          <w:sz w:val="26"/>
          <w:szCs w:val="26"/>
        </w:rPr>
        <w:t xml:space="preserve"> Dessa forma, a Defensoria Pública pode atuar na situação apresentada, considerando sua missão institucional de proteção </w:t>
      </w:r>
      <w:r w:rsidR="00C01491">
        <w:rPr>
          <w:rFonts w:ascii="Arial" w:hAnsi="Arial" w:cs="Arial"/>
          <w:sz w:val="26"/>
          <w:szCs w:val="26"/>
        </w:rPr>
        <w:t xml:space="preserve">e defesa </w:t>
      </w:r>
      <w:r w:rsidR="00952291">
        <w:rPr>
          <w:rFonts w:ascii="Arial" w:hAnsi="Arial" w:cs="Arial"/>
          <w:sz w:val="26"/>
          <w:szCs w:val="26"/>
        </w:rPr>
        <w:t xml:space="preserve">de grupos vulneráveis. </w:t>
      </w:r>
      <w:r w:rsidR="00F46227" w:rsidRPr="00F46227">
        <w:rPr>
          <w:rFonts w:ascii="Arial" w:hAnsi="Arial" w:cs="Arial"/>
          <w:sz w:val="26"/>
          <w:szCs w:val="26"/>
        </w:rPr>
        <w:t>A Defensoria Pública, portanto, reafirma a centralidade da pessoa humana na ordem jurídico-constitucional contemporânea, porquanto fica claro que todo ser humano é digno de obter amparo do ordenamento jurídico brasileiro. Sob esse prisma, a instituição tem papel relevante na proteção do direito ao reconhecimento de grupos vulneráveis em um Estado Democrático de Direito.</w:t>
      </w:r>
    </w:p>
    <w:p w14:paraId="4ED6DFF7" w14:textId="53EC02E2" w:rsidR="00952291" w:rsidRDefault="00952291" w:rsidP="000C5C72">
      <w:pPr>
        <w:spacing w:after="100" w:afterAutospacing="1" w:line="360" w:lineRule="auto"/>
        <w:ind w:firstLine="1134"/>
        <w:jc w:val="both"/>
        <w:rPr>
          <w:rFonts w:ascii="Arial" w:hAnsi="Arial" w:cs="Arial"/>
          <w:sz w:val="26"/>
          <w:szCs w:val="26"/>
        </w:rPr>
      </w:pPr>
      <w:r>
        <w:rPr>
          <w:rFonts w:ascii="Arial" w:hAnsi="Arial" w:cs="Arial"/>
          <w:sz w:val="26"/>
          <w:szCs w:val="26"/>
        </w:rPr>
        <w:t>A questão, portanto, deve ser anulada.</w:t>
      </w:r>
    </w:p>
    <w:p w14:paraId="2E69F05E" w14:textId="77777777" w:rsidR="000C5C72" w:rsidRDefault="000C5C72" w:rsidP="000C5C72">
      <w:pPr>
        <w:spacing w:after="100" w:afterAutospacing="1" w:line="360" w:lineRule="auto"/>
        <w:ind w:firstLine="1134"/>
        <w:jc w:val="both"/>
        <w:rPr>
          <w:rFonts w:ascii="Arial" w:hAnsi="Arial" w:cs="Arial"/>
          <w:sz w:val="26"/>
          <w:szCs w:val="26"/>
        </w:rPr>
      </w:pPr>
    </w:p>
    <w:p w14:paraId="4D2EA1FD" w14:textId="77777777" w:rsidR="000C5C72" w:rsidRDefault="000C5C72" w:rsidP="000C5C72">
      <w:pPr>
        <w:spacing w:after="100" w:afterAutospacing="1" w:line="360" w:lineRule="auto"/>
        <w:ind w:firstLine="1134"/>
        <w:jc w:val="both"/>
        <w:rPr>
          <w:rFonts w:ascii="Arial" w:hAnsi="Arial" w:cs="Arial"/>
          <w:sz w:val="26"/>
          <w:szCs w:val="26"/>
        </w:rPr>
      </w:pPr>
    </w:p>
    <w:p w14:paraId="5F7144D9" w14:textId="5483D850" w:rsidR="00FB49F7" w:rsidRDefault="00FB49F7" w:rsidP="00FA6AFD">
      <w:pPr>
        <w:spacing w:after="100" w:afterAutospacing="1" w:line="360" w:lineRule="auto"/>
        <w:jc w:val="both"/>
        <w:rPr>
          <w:rFonts w:ascii="Arial" w:hAnsi="Arial" w:cs="Arial"/>
          <w:sz w:val="26"/>
          <w:szCs w:val="26"/>
        </w:rPr>
      </w:pPr>
      <w:r>
        <w:rPr>
          <w:rFonts w:ascii="Arial" w:hAnsi="Arial" w:cs="Arial"/>
          <w:sz w:val="26"/>
          <w:szCs w:val="26"/>
        </w:rPr>
        <w:t xml:space="preserve">QUESTÃO </w:t>
      </w:r>
      <w:r w:rsidR="00952291">
        <w:rPr>
          <w:rFonts w:ascii="Arial" w:hAnsi="Arial" w:cs="Arial"/>
          <w:sz w:val="26"/>
          <w:szCs w:val="26"/>
        </w:rPr>
        <w:t>69</w:t>
      </w:r>
    </w:p>
    <w:p w14:paraId="5FF33E91" w14:textId="49929AD8" w:rsidR="00952291" w:rsidRPr="00952291" w:rsidRDefault="00952291" w:rsidP="00952291">
      <w:pPr>
        <w:spacing w:after="100" w:afterAutospacing="1" w:line="360" w:lineRule="auto"/>
        <w:jc w:val="both"/>
        <w:rPr>
          <w:rFonts w:ascii="Arial" w:hAnsi="Arial" w:cs="Arial"/>
          <w:sz w:val="26"/>
          <w:szCs w:val="26"/>
        </w:rPr>
      </w:pPr>
      <w:r w:rsidRPr="00952291">
        <w:rPr>
          <w:rFonts w:ascii="Arial" w:hAnsi="Arial" w:cs="Arial"/>
          <w:sz w:val="26"/>
          <w:szCs w:val="26"/>
        </w:rPr>
        <w:t>Considerando as disposições sobre a assistência social na</w:t>
      </w:r>
      <w:r>
        <w:rPr>
          <w:rFonts w:ascii="Arial" w:hAnsi="Arial" w:cs="Arial"/>
          <w:sz w:val="26"/>
          <w:szCs w:val="26"/>
        </w:rPr>
        <w:t xml:space="preserve"> </w:t>
      </w:r>
      <w:r w:rsidRPr="00952291">
        <w:rPr>
          <w:rFonts w:ascii="Arial" w:hAnsi="Arial" w:cs="Arial"/>
          <w:sz w:val="26"/>
          <w:szCs w:val="26"/>
        </w:rPr>
        <w:t>ordem constitucional brasileira e a Lei nº 8.742/1993, é</w:t>
      </w:r>
      <w:r>
        <w:rPr>
          <w:rFonts w:ascii="Arial" w:hAnsi="Arial" w:cs="Arial"/>
          <w:sz w:val="26"/>
          <w:szCs w:val="26"/>
        </w:rPr>
        <w:t xml:space="preserve"> </w:t>
      </w:r>
      <w:r w:rsidRPr="00952291">
        <w:rPr>
          <w:rFonts w:ascii="Arial" w:hAnsi="Arial" w:cs="Arial"/>
          <w:sz w:val="26"/>
          <w:szCs w:val="26"/>
        </w:rPr>
        <w:t>correto afirmar que:</w:t>
      </w:r>
    </w:p>
    <w:p w14:paraId="0840F07A" w14:textId="651A52A4" w:rsidR="00952291" w:rsidRPr="00952291" w:rsidRDefault="00952291" w:rsidP="00952291">
      <w:pPr>
        <w:spacing w:after="100" w:afterAutospacing="1" w:line="360" w:lineRule="auto"/>
        <w:jc w:val="both"/>
        <w:rPr>
          <w:rFonts w:ascii="Arial" w:hAnsi="Arial" w:cs="Arial"/>
          <w:sz w:val="26"/>
          <w:szCs w:val="26"/>
        </w:rPr>
      </w:pPr>
      <w:r w:rsidRPr="00952291">
        <w:rPr>
          <w:rFonts w:ascii="Arial" w:hAnsi="Arial" w:cs="Arial"/>
          <w:sz w:val="26"/>
          <w:szCs w:val="26"/>
        </w:rPr>
        <w:t>(A) os Estados devem efetuar o pagamento dos auxílios</w:t>
      </w:r>
      <w:r>
        <w:rPr>
          <w:rFonts w:ascii="Arial" w:hAnsi="Arial" w:cs="Arial"/>
          <w:sz w:val="26"/>
          <w:szCs w:val="26"/>
        </w:rPr>
        <w:t xml:space="preserve"> </w:t>
      </w:r>
      <w:r w:rsidRPr="00952291">
        <w:rPr>
          <w:rFonts w:ascii="Arial" w:hAnsi="Arial" w:cs="Arial"/>
          <w:sz w:val="26"/>
          <w:szCs w:val="26"/>
        </w:rPr>
        <w:t>natalidade e funeral, além de prestar os serviços</w:t>
      </w:r>
      <w:r>
        <w:rPr>
          <w:rFonts w:ascii="Arial" w:hAnsi="Arial" w:cs="Arial"/>
          <w:sz w:val="26"/>
          <w:szCs w:val="26"/>
        </w:rPr>
        <w:t xml:space="preserve"> </w:t>
      </w:r>
      <w:r w:rsidRPr="00952291">
        <w:rPr>
          <w:rFonts w:ascii="Arial" w:hAnsi="Arial" w:cs="Arial"/>
          <w:sz w:val="26"/>
          <w:szCs w:val="26"/>
        </w:rPr>
        <w:t>socioassistenciais cujos custos ou ausência de demanda</w:t>
      </w:r>
      <w:r>
        <w:rPr>
          <w:rFonts w:ascii="Arial" w:hAnsi="Arial" w:cs="Arial"/>
          <w:sz w:val="26"/>
          <w:szCs w:val="26"/>
        </w:rPr>
        <w:t xml:space="preserve"> </w:t>
      </w:r>
      <w:r w:rsidRPr="00952291">
        <w:rPr>
          <w:rFonts w:ascii="Arial" w:hAnsi="Arial" w:cs="Arial"/>
          <w:sz w:val="26"/>
          <w:szCs w:val="26"/>
        </w:rPr>
        <w:t>justifiquem uma rede regional e desconcentrada;</w:t>
      </w:r>
    </w:p>
    <w:p w14:paraId="642493C8" w14:textId="276A78A9" w:rsidR="00952291" w:rsidRPr="00952291" w:rsidRDefault="00952291" w:rsidP="00952291">
      <w:pPr>
        <w:spacing w:after="100" w:afterAutospacing="1" w:line="360" w:lineRule="auto"/>
        <w:jc w:val="both"/>
        <w:rPr>
          <w:rFonts w:ascii="Arial" w:hAnsi="Arial" w:cs="Arial"/>
          <w:sz w:val="26"/>
          <w:szCs w:val="26"/>
        </w:rPr>
      </w:pPr>
      <w:r w:rsidRPr="00952291">
        <w:rPr>
          <w:rFonts w:ascii="Arial" w:hAnsi="Arial" w:cs="Arial"/>
          <w:sz w:val="26"/>
          <w:szCs w:val="26"/>
        </w:rPr>
        <w:t>(B) lei federal que aumentar o universo de beneficiários do</w:t>
      </w:r>
      <w:r>
        <w:rPr>
          <w:rFonts w:ascii="Arial" w:hAnsi="Arial" w:cs="Arial"/>
          <w:sz w:val="26"/>
          <w:szCs w:val="26"/>
        </w:rPr>
        <w:t xml:space="preserve"> </w:t>
      </w:r>
      <w:r w:rsidRPr="00952291">
        <w:rPr>
          <w:rFonts w:ascii="Arial" w:hAnsi="Arial" w:cs="Arial"/>
          <w:sz w:val="26"/>
          <w:szCs w:val="26"/>
        </w:rPr>
        <w:t>benefício de prestação continuada (BPC), sem indicar a</w:t>
      </w:r>
      <w:r>
        <w:rPr>
          <w:rFonts w:ascii="Arial" w:hAnsi="Arial" w:cs="Arial"/>
          <w:sz w:val="26"/>
          <w:szCs w:val="26"/>
        </w:rPr>
        <w:t xml:space="preserve"> </w:t>
      </w:r>
      <w:r w:rsidRPr="00952291">
        <w:rPr>
          <w:rFonts w:ascii="Arial" w:hAnsi="Arial" w:cs="Arial"/>
          <w:sz w:val="26"/>
          <w:szCs w:val="26"/>
        </w:rPr>
        <w:t>correspondente fonte de custeio, é inconstitucional e,</w:t>
      </w:r>
      <w:r>
        <w:rPr>
          <w:rFonts w:ascii="Arial" w:hAnsi="Arial" w:cs="Arial"/>
          <w:sz w:val="26"/>
          <w:szCs w:val="26"/>
        </w:rPr>
        <w:t xml:space="preserve"> </w:t>
      </w:r>
      <w:r w:rsidRPr="00952291">
        <w:rPr>
          <w:rFonts w:ascii="Arial" w:hAnsi="Arial" w:cs="Arial"/>
          <w:sz w:val="26"/>
          <w:szCs w:val="26"/>
        </w:rPr>
        <w:t>portanto, inválida e nula de pleno direito;</w:t>
      </w:r>
    </w:p>
    <w:p w14:paraId="795DB29B" w14:textId="34802CDC" w:rsidR="00952291" w:rsidRPr="00952291" w:rsidRDefault="00952291" w:rsidP="00952291">
      <w:pPr>
        <w:spacing w:after="100" w:afterAutospacing="1" w:line="360" w:lineRule="auto"/>
        <w:jc w:val="both"/>
        <w:rPr>
          <w:rFonts w:ascii="Arial" w:hAnsi="Arial" w:cs="Arial"/>
          <w:sz w:val="26"/>
          <w:szCs w:val="26"/>
        </w:rPr>
      </w:pPr>
      <w:r w:rsidRPr="00952291">
        <w:rPr>
          <w:rFonts w:ascii="Arial" w:hAnsi="Arial" w:cs="Arial"/>
          <w:sz w:val="26"/>
          <w:szCs w:val="26"/>
        </w:rPr>
        <w:t>(C) o STF proclamou a inconstitucionalidade da limitação do</w:t>
      </w:r>
      <w:r>
        <w:rPr>
          <w:rFonts w:ascii="Arial" w:hAnsi="Arial" w:cs="Arial"/>
          <w:sz w:val="26"/>
          <w:szCs w:val="26"/>
        </w:rPr>
        <w:t xml:space="preserve"> </w:t>
      </w:r>
      <w:r w:rsidRPr="00952291">
        <w:rPr>
          <w:rFonts w:ascii="Arial" w:hAnsi="Arial" w:cs="Arial"/>
          <w:sz w:val="26"/>
          <w:szCs w:val="26"/>
        </w:rPr>
        <w:t>pagamento do benefício de prestação continuada às famílias</w:t>
      </w:r>
      <w:r>
        <w:rPr>
          <w:rFonts w:ascii="Arial" w:hAnsi="Arial" w:cs="Arial"/>
          <w:sz w:val="26"/>
          <w:szCs w:val="26"/>
        </w:rPr>
        <w:t xml:space="preserve"> </w:t>
      </w:r>
      <w:r w:rsidRPr="00952291">
        <w:rPr>
          <w:rFonts w:ascii="Arial" w:hAnsi="Arial" w:cs="Arial"/>
          <w:sz w:val="26"/>
          <w:szCs w:val="26"/>
        </w:rPr>
        <w:t>com renda per capita inferior a 1/4 do salário mínimo,</w:t>
      </w:r>
      <w:r>
        <w:rPr>
          <w:rFonts w:ascii="Arial" w:hAnsi="Arial" w:cs="Arial"/>
          <w:sz w:val="26"/>
          <w:szCs w:val="26"/>
        </w:rPr>
        <w:t xml:space="preserve"> </w:t>
      </w:r>
      <w:r w:rsidRPr="00952291">
        <w:rPr>
          <w:rFonts w:ascii="Arial" w:hAnsi="Arial" w:cs="Arial"/>
          <w:sz w:val="26"/>
          <w:szCs w:val="26"/>
        </w:rPr>
        <w:t>assinalando prazo ao Congresso Nacional para corrigir a</w:t>
      </w:r>
      <w:r>
        <w:rPr>
          <w:rFonts w:ascii="Arial" w:hAnsi="Arial" w:cs="Arial"/>
          <w:sz w:val="26"/>
          <w:szCs w:val="26"/>
        </w:rPr>
        <w:t xml:space="preserve"> </w:t>
      </w:r>
      <w:r w:rsidRPr="00952291">
        <w:rPr>
          <w:rFonts w:ascii="Arial" w:hAnsi="Arial" w:cs="Arial"/>
          <w:sz w:val="26"/>
          <w:szCs w:val="26"/>
        </w:rPr>
        <w:t>omissão;</w:t>
      </w:r>
    </w:p>
    <w:p w14:paraId="5BDEC4F4" w14:textId="2598A42B" w:rsidR="00952291" w:rsidRPr="00952291" w:rsidRDefault="00952291" w:rsidP="00952291">
      <w:pPr>
        <w:spacing w:after="100" w:afterAutospacing="1" w:line="360" w:lineRule="auto"/>
        <w:jc w:val="both"/>
        <w:rPr>
          <w:rFonts w:ascii="Arial" w:hAnsi="Arial" w:cs="Arial"/>
          <w:sz w:val="26"/>
          <w:szCs w:val="26"/>
        </w:rPr>
      </w:pPr>
      <w:r w:rsidRPr="00952291">
        <w:rPr>
          <w:rFonts w:ascii="Arial" w:hAnsi="Arial" w:cs="Arial"/>
          <w:sz w:val="26"/>
          <w:szCs w:val="26"/>
        </w:rPr>
        <w:t>(D) ainda que sem previsão na legislação municipal, os</w:t>
      </w:r>
      <w:r>
        <w:rPr>
          <w:rFonts w:ascii="Arial" w:hAnsi="Arial" w:cs="Arial"/>
          <w:sz w:val="26"/>
          <w:szCs w:val="26"/>
        </w:rPr>
        <w:t xml:space="preserve"> </w:t>
      </w:r>
      <w:r w:rsidRPr="00952291">
        <w:rPr>
          <w:rFonts w:ascii="Arial" w:hAnsi="Arial" w:cs="Arial"/>
          <w:sz w:val="26"/>
          <w:szCs w:val="26"/>
        </w:rPr>
        <w:t>Municípios devem arcar com o pagamento de aluguel social</w:t>
      </w:r>
      <w:r>
        <w:rPr>
          <w:rFonts w:ascii="Arial" w:hAnsi="Arial" w:cs="Arial"/>
          <w:sz w:val="26"/>
          <w:szCs w:val="26"/>
        </w:rPr>
        <w:t xml:space="preserve"> </w:t>
      </w:r>
      <w:r w:rsidRPr="00952291">
        <w:rPr>
          <w:rFonts w:ascii="Arial" w:hAnsi="Arial" w:cs="Arial"/>
          <w:sz w:val="26"/>
          <w:szCs w:val="26"/>
        </w:rPr>
        <w:t>aos jovens de 18 a 21 anos, desligados dos serviços de</w:t>
      </w:r>
      <w:r>
        <w:rPr>
          <w:rFonts w:ascii="Arial" w:hAnsi="Arial" w:cs="Arial"/>
          <w:sz w:val="26"/>
          <w:szCs w:val="26"/>
        </w:rPr>
        <w:t xml:space="preserve"> </w:t>
      </w:r>
      <w:r w:rsidRPr="00952291">
        <w:rPr>
          <w:rFonts w:ascii="Arial" w:hAnsi="Arial" w:cs="Arial"/>
          <w:sz w:val="26"/>
          <w:szCs w:val="26"/>
        </w:rPr>
        <w:t>acolhimento para adolescentes, caso não tenham instalada</w:t>
      </w:r>
      <w:r>
        <w:rPr>
          <w:rFonts w:ascii="Arial" w:hAnsi="Arial" w:cs="Arial"/>
          <w:sz w:val="26"/>
          <w:szCs w:val="26"/>
        </w:rPr>
        <w:t xml:space="preserve"> </w:t>
      </w:r>
      <w:r w:rsidRPr="00952291">
        <w:rPr>
          <w:rFonts w:ascii="Arial" w:hAnsi="Arial" w:cs="Arial"/>
          <w:sz w:val="26"/>
          <w:szCs w:val="26"/>
        </w:rPr>
        <w:t>no território uma república para jovens;</w:t>
      </w:r>
    </w:p>
    <w:p w14:paraId="4D2D4BDC" w14:textId="152F0AED" w:rsidR="00952291" w:rsidRPr="00952291" w:rsidRDefault="00952291" w:rsidP="00952291">
      <w:pPr>
        <w:spacing w:after="100" w:afterAutospacing="1" w:line="360" w:lineRule="auto"/>
        <w:jc w:val="both"/>
        <w:rPr>
          <w:rFonts w:ascii="Arial" w:hAnsi="Arial" w:cs="Arial"/>
          <w:sz w:val="26"/>
          <w:szCs w:val="26"/>
        </w:rPr>
      </w:pPr>
      <w:r w:rsidRPr="00952291">
        <w:rPr>
          <w:rFonts w:ascii="Arial" w:hAnsi="Arial" w:cs="Arial"/>
          <w:sz w:val="26"/>
          <w:szCs w:val="26"/>
        </w:rPr>
        <w:t>(E) a regra constitucional que assegura o pagamento de</w:t>
      </w:r>
      <w:r>
        <w:rPr>
          <w:rFonts w:ascii="Arial" w:hAnsi="Arial" w:cs="Arial"/>
          <w:sz w:val="26"/>
          <w:szCs w:val="26"/>
        </w:rPr>
        <w:t xml:space="preserve"> </w:t>
      </w:r>
      <w:r w:rsidRPr="00952291">
        <w:rPr>
          <w:rFonts w:ascii="Arial" w:hAnsi="Arial" w:cs="Arial"/>
          <w:sz w:val="26"/>
          <w:szCs w:val="26"/>
        </w:rPr>
        <w:t>benefício mensal no valor de um salário mínimo (Art. 203, V,</w:t>
      </w:r>
      <w:r>
        <w:rPr>
          <w:rFonts w:ascii="Arial" w:hAnsi="Arial" w:cs="Arial"/>
          <w:sz w:val="26"/>
          <w:szCs w:val="26"/>
        </w:rPr>
        <w:t xml:space="preserve"> </w:t>
      </w:r>
      <w:r w:rsidRPr="00952291">
        <w:rPr>
          <w:rFonts w:ascii="Arial" w:hAnsi="Arial" w:cs="Arial"/>
          <w:sz w:val="26"/>
          <w:szCs w:val="26"/>
        </w:rPr>
        <w:t>da CRFB/1988) não é autoaplicável, havendo ampla</w:t>
      </w:r>
      <w:r>
        <w:rPr>
          <w:rFonts w:ascii="Arial" w:hAnsi="Arial" w:cs="Arial"/>
          <w:sz w:val="26"/>
          <w:szCs w:val="26"/>
        </w:rPr>
        <w:t xml:space="preserve"> </w:t>
      </w:r>
      <w:r w:rsidRPr="00952291">
        <w:rPr>
          <w:rFonts w:ascii="Arial" w:hAnsi="Arial" w:cs="Arial"/>
          <w:sz w:val="26"/>
          <w:szCs w:val="26"/>
        </w:rPr>
        <w:t>discricionariedade legislativa na sua regulamentação. Desse</w:t>
      </w:r>
      <w:r>
        <w:rPr>
          <w:rFonts w:ascii="Arial" w:hAnsi="Arial" w:cs="Arial"/>
          <w:sz w:val="26"/>
          <w:szCs w:val="26"/>
        </w:rPr>
        <w:t xml:space="preserve"> </w:t>
      </w:r>
      <w:r w:rsidRPr="00952291">
        <w:rPr>
          <w:rFonts w:ascii="Arial" w:hAnsi="Arial" w:cs="Arial"/>
          <w:sz w:val="26"/>
          <w:szCs w:val="26"/>
        </w:rPr>
        <w:t>modo, é constitucional a norma legal que afasta do cálculo da</w:t>
      </w:r>
      <w:r>
        <w:rPr>
          <w:rFonts w:ascii="Arial" w:hAnsi="Arial" w:cs="Arial"/>
          <w:sz w:val="26"/>
          <w:szCs w:val="26"/>
        </w:rPr>
        <w:t xml:space="preserve"> </w:t>
      </w:r>
      <w:r w:rsidRPr="00952291">
        <w:rPr>
          <w:rFonts w:ascii="Arial" w:hAnsi="Arial" w:cs="Arial"/>
          <w:sz w:val="26"/>
          <w:szCs w:val="26"/>
        </w:rPr>
        <w:t>renda per capita familiar o valor de outro BPC pago a idoso,</w:t>
      </w:r>
    </w:p>
    <w:p w14:paraId="74CE7D55" w14:textId="77777777" w:rsidR="00952291" w:rsidRDefault="00952291" w:rsidP="00952291">
      <w:pPr>
        <w:spacing w:after="100" w:afterAutospacing="1" w:line="360" w:lineRule="auto"/>
        <w:jc w:val="both"/>
        <w:rPr>
          <w:rFonts w:ascii="Arial" w:hAnsi="Arial" w:cs="Arial"/>
          <w:sz w:val="26"/>
          <w:szCs w:val="26"/>
        </w:rPr>
      </w:pPr>
      <w:r w:rsidRPr="00952291">
        <w:rPr>
          <w:rFonts w:ascii="Arial" w:hAnsi="Arial" w:cs="Arial"/>
          <w:sz w:val="26"/>
          <w:szCs w:val="26"/>
        </w:rPr>
        <w:t xml:space="preserve">mas não de benefício previdenciário com igual valor. </w:t>
      </w:r>
    </w:p>
    <w:p w14:paraId="3E731B24" w14:textId="48C2D0BB" w:rsidR="00FB49F7" w:rsidRDefault="00FB49F7" w:rsidP="00952291">
      <w:pPr>
        <w:spacing w:after="100" w:afterAutospacing="1" w:line="360" w:lineRule="auto"/>
        <w:jc w:val="both"/>
        <w:rPr>
          <w:rFonts w:ascii="Arial" w:hAnsi="Arial" w:cs="Arial"/>
          <w:sz w:val="26"/>
          <w:szCs w:val="26"/>
        </w:rPr>
      </w:pPr>
      <w:r>
        <w:rPr>
          <w:rFonts w:ascii="Arial" w:hAnsi="Arial" w:cs="Arial"/>
          <w:sz w:val="26"/>
          <w:szCs w:val="26"/>
        </w:rPr>
        <w:t>Comentários</w:t>
      </w:r>
    </w:p>
    <w:p w14:paraId="27B7A5A2" w14:textId="1750F15E" w:rsidR="00952291" w:rsidRDefault="00952291" w:rsidP="00952291">
      <w:pPr>
        <w:spacing w:after="100" w:afterAutospacing="1" w:line="360" w:lineRule="auto"/>
        <w:ind w:firstLine="1134"/>
        <w:jc w:val="both"/>
        <w:rPr>
          <w:rFonts w:ascii="Arial" w:hAnsi="Arial" w:cs="Arial"/>
          <w:sz w:val="26"/>
          <w:szCs w:val="26"/>
        </w:rPr>
      </w:pPr>
      <w:r>
        <w:rPr>
          <w:rFonts w:ascii="Arial" w:hAnsi="Arial" w:cs="Arial"/>
          <w:sz w:val="26"/>
          <w:szCs w:val="26"/>
        </w:rPr>
        <w:t>A questão 69 merece ser anulada, pois possui duas alternativas correta.</w:t>
      </w:r>
      <w:r w:rsidR="00F46227">
        <w:rPr>
          <w:rFonts w:ascii="Arial" w:hAnsi="Arial" w:cs="Arial"/>
          <w:sz w:val="26"/>
          <w:szCs w:val="26"/>
        </w:rPr>
        <w:t xml:space="preserve"> </w:t>
      </w:r>
      <w:r>
        <w:rPr>
          <w:rFonts w:ascii="Arial" w:hAnsi="Arial" w:cs="Arial"/>
          <w:sz w:val="26"/>
          <w:szCs w:val="26"/>
        </w:rPr>
        <w:t>O gabarito preliminar apresenta a letra “D” como o item a ser assinalado. Todavia, a letra “B” também está correta, conforme entendimento jurisprudencial do Supremo Tribunal Federal. Senão vejamos.</w:t>
      </w:r>
    </w:p>
    <w:p w14:paraId="255F3929" w14:textId="0F35CCCF" w:rsidR="00952291" w:rsidRPr="00952291" w:rsidRDefault="00952291" w:rsidP="00952291">
      <w:pPr>
        <w:spacing w:after="100" w:afterAutospacing="1" w:line="360" w:lineRule="auto"/>
        <w:ind w:firstLine="1134"/>
        <w:jc w:val="both"/>
        <w:rPr>
          <w:rFonts w:ascii="Arial" w:hAnsi="Arial" w:cs="Arial"/>
          <w:sz w:val="26"/>
          <w:szCs w:val="26"/>
        </w:rPr>
      </w:pPr>
      <w:r>
        <w:rPr>
          <w:rFonts w:ascii="Arial" w:hAnsi="Arial" w:cs="Arial"/>
          <w:sz w:val="26"/>
          <w:szCs w:val="26"/>
        </w:rPr>
        <w:t xml:space="preserve">De acordo com o voto do Ministro Gilmar Mendes na </w:t>
      </w:r>
      <w:r w:rsidRPr="00952291">
        <w:rPr>
          <w:rFonts w:ascii="Arial" w:hAnsi="Arial" w:cs="Arial"/>
          <w:sz w:val="26"/>
          <w:szCs w:val="26"/>
        </w:rPr>
        <w:t>ADPF 662 MC</w:t>
      </w:r>
      <w:r>
        <w:rPr>
          <w:rFonts w:ascii="Arial" w:hAnsi="Arial" w:cs="Arial"/>
          <w:sz w:val="26"/>
          <w:szCs w:val="26"/>
        </w:rPr>
        <w:t>/D</w:t>
      </w:r>
      <w:r w:rsidRPr="00952291">
        <w:rPr>
          <w:rFonts w:ascii="Arial" w:hAnsi="Arial" w:cs="Arial"/>
          <w:sz w:val="26"/>
          <w:szCs w:val="26"/>
        </w:rPr>
        <w:t>F</w:t>
      </w:r>
      <w:r>
        <w:rPr>
          <w:rFonts w:ascii="Arial" w:hAnsi="Arial" w:cs="Arial"/>
          <w:sz w:val="26"/>
          <w:szCs w:val="26"/>
        </w:rPr>
        <w:t xml:space="preserve">, </w:t>
      </w:r>
      <w:r w:rsidRPr="00952291">
        <w:rPr>
          <w:rFonts w:ascii="Arial" w:hAnsi="Arial" w:cs="Arial"/>
          <w:sz w:val="26"/>
          <w:szCs w:val="26"/>
        </w:rPr>
        <w:t>A exigência de indicação da fonte de custeio dos benefícios da</w:t>
      </w:r>
      <w:r w:rsidR="00427532">
        <w:rPr>
          <w:rFonts w:ascii="Arial" w:hAnsi="Arial" w:cs="Arial"/>
          <w:sz w:val="26"/>
          <w:szCs w:val="26"/>
        </w:rPr>
        <w:t xml:space="preserve"> </w:t>
      </w:r>
      <w:r w:rsidRPr="00952291">
        <w:rPr>
          <w:rFonts w:ascii="Arial" w:hAnsi="Arial" w:cs="Arial"/>
          <w:sz w:val="26"/>
          <w:szCs w:val="26"/>
        </w:rPr>
        <w:t>seguridade social é, assim, um compromisso com o futuro e com cada um</w:t>
      </w:r>
      <w:r w:rsidR="00427532">
        <w:rPr>
          <w:rFonts w:ascii="Arial" w:hAnsi="Arial" w:cs="Arial"/>
          <w:sz w:val="26"/>
          <w:szCs w:val="26"/>
        </w:rPr>
        <w:t xml:space="preserve"> </w:t>
      </w:r>
      <w:r w:rsidRPr="00952291">
        <w:rPr>
          <w:rFonts w:ascii="Arial" w:hAnsi="Arial" w:cs="Arial"/>
          <w:sz w:val="26"/>
          <w:szCs w:val="26"/>
        </w:rPr>
        <w:t>dos cidadãos, especialmente os mais necessitados, na medida em que</w:t>
      </w:r>
      <w:r w:rsidR="00427532">
        <w:rPr>
          <w:rFonts w:ascii="Arial" w:hAnsi="Arial" w:cs="Arial"/>
          <w:sz w:val="26"/>
          <w:szCs w:val="26"/>
        </w:rPr>
        <w:t xml:space="preserve"> </w:t>
      </w:r>
      <w:r w:rsidRPr="00952291">
        <w:rPr>
          <w:rFonts w:ascii="Arial" w:hAnsi="Arial" w:cs="Arial"/>
          <w:sz w:val="26"/>
          <w:szCs w:val="26"/>
        </w:rPr>
        <w:t>garante a boa governança, de modo a permitir a fruição dos benefícios</w:t>
      </w:r>
      <w:r w:rsidR="00427532">
        <w:rPr>
          <w:rFonts w:ascii="Arial" w:hAnsi="Arial" w:cs="Arial"/>
          <w:sz w:val="26"/>
          <w:szCs w:val="26"/>
        </w:rPr>
        <w:t xml:space="preserve"> </w:t>
      </w:r>
      <w:r w:rsidRPr="00952291">
        <w:rPr>
          <w:rFonts w:ascii="Arial" w:hAnsi="Arial" w:cs="Arial"/>
          <w:sz w:val="26"/>
          <w:szCs w:val="26"/>
        </w:rPr>
        <w:t>com segurança e justiça social.</w:t>
      </w:r>
    </w:p>
    <w:p w14:paraId="387DE8EB" w14:textId="52CEE15C" w:rsidR="00952291" w:rsidRDefault="00952291" w:rsidP="00952291">
      <w:pPr>
        <w:spacing w:after="100" w:afterAutospacing="1" w:line="360" w:lineRule="auto"/>
        <w:ind w:firstLine="1134"/>
        <w:jc w:val="both"/>
        <w:rPr>
          <w:rFonts w:ascii="Arial" w:hAnsi="Arial" w:cs="Arial"/>
          <w:sz w:val="26"/>
          <w:szCs w:val="26"/>
        </w:rPr>
      </w:pPr>
      <w:r w:rsidRPr="00952291">
        <w:rPr>
          <w:rFonts w:ascii="Arial" w:hAnsi="Arial" w:cs="Arial"/>
          <w:sz w:val="26"/>
          <w:szCs w:val="26"/>
        </w:rPr>
        <w:t>A obrigatoriedade de cumprimento do disposto no art. 195, §5º, da</w:t>
      </w:r>
      <w:r w:rsidR="00427532">
        <w:rPr>
          <w:rFonts w:ascii="Arial" w:hAnsi="Arial" w:cs="Arial"/>
          <w:sz w:val="26"/>
          <w:szCs w:val="26"/>
        </w:rPr>
        <w:t xml:space="preserve"> </w:t>
      </w:r>
      <w:r w:rsidRPr="00952291">
        <w:rPr>
          <w:rFonts w:ascii="Arial" w:hAnsi="Arial" w:cs="Arial"/>
          <w:sz w:val="26"/>
          <w:szCs w:val="26"/>
        </w:rPr>
        <w:t>CF pela legislação que cria, majora ou estende benefícios da seguridade</w:t>
      </w:r>
      <w:r w:rsidR="00427532">
        <w:rPr>
          <w:rFonts w:ascii="Arial" w:hAnsi="Arial" w:cs="Arial"/>
          <w:sz w:val="26"/>
          <w:szCs w:val="26"/>
        </w:rPr>
        <w:t xml:space="preserve"> </w:t>
      </w:r>
      <w:r w:rsidRPr="00952291">
        <w:rPr>
          <w:rFonts w:ascii="Arial" w:hAnsi="Arial" w:cs="Arial"/>
          <w:sz w:val="26"/>
          <w:szCs w:val="26"/>
        </w:rPr>
        <w:t>social parece estar em consonância com a jurisprudência consolidada da</w:t>
      </w:r>
      <w:r w:rsidR="00427532">
        <w:rPr>
          <w:rFonts w:ascii="Arial" w:hAnsi="Arial" w:cs="Arial"/>
          <w:sz w:val="26"/>
          <w:szCs w:val="26"/>
        </w:rPr>
        <w:t xml:space="preserve"> </w:t>
      </w:r>
      <w:r w:rsidRPr="00952291">
        <w:rPr>
          <w:rFonts w:ascii="Arial" w:hAnsi="Arial" w:cs="Arial"/>
          <w:sz w:val="26"/>
          <w:szCs w:val="26"/>
        </w:rPr>
        <w:t>Corte na matéria, conforme ementa do seguinte julgado</w:t>
      </w:r>
      <w:r w:rsidR="00427532">
        <w:rPr>
          <w:rFonts w:ascii="Arial" w:hAnsi="Arial" w:cs="Arial"/>
          <w:sz w:val="26"/>
          <w:szCs w:val="26"/>
        </w:rPr>
        <w:t>:</w:t>
      </w:r>
    </w:p>
    <w:p w14:paraId="65A87AC9" w14:textId="2D122FEC" w:rsidR="00427532" w:rsidRDefault="00427532" w:rsidP="00427532">
      <w:pPr>
        <w:spacing w:after="100" w:afterAutospacing="1" w:line="360" w:lineRule="auto"/>
        <w:ind w:left="2268"/>
        <w:jc w:val="both"/>
        <w:rPr>
          <w:rFonts w:ascii="Arial" w:hAnsi="Arial" w:cs="Arial"/>
          <w:sz w:val="26"/>
          <w:szCs w:val="26"/>
        </w:rPr>
      </w:pPr>
      <w:r w:rsidRPr="00427532">
        <w:rPr>
          <w:rFonts w:ascii="Arial" w:hAnsi="Arial" w:cs="Arial"/>
          <w:sz w:val="26"/>
          <w:szCs w:val="26"/>
        </w:rPr>
        <w:t>“Questão de ordem. Recurso extraordinário. 2.</w:t>
      </w:r>
      <w:r>
        <w:rPr>
          <w:rFonts w:ascii="Arial" w:hAnsi="Arial" w:cs="Arial"/>
          <w:sz w:val="26"/>
          <w:szCs w:val="26"/>
        </w:rPr>
        <w:t xml:space="preserve"> </w:t>
      </w:r>
      <w:r w:rsidRPr="00427532">
        <w:rPr>
          <w:rFonts w:ascii="Arial" w:hAnsi="Arial" w:cs="Arial"/>
          <w:sz w:val="26"/>
          <w:szCs w:val="26"/>
        </w:rPr>
        <w:t>Previdência Social. Revisão de benefício previdenciário. Pensão</w:t>
      </w:r>
      <w:r>
        <w:rPr>
          <w:rFonts w:ascii="Arial" w:hAnsi="Arial" w:cs="Arial"/>
          <w:sz w:val="26"/>
          <w:szCs w:val="26"/>
        </w:rPr>
        <w:t xml:space="preserve"> </w:t>
      </w:r>
      <w:r w:rsidRPr="00427532">
        <w:rPr>
          <w:rFonts w:ascii="Arial" w:hAnsi="Arial" w:cs="Arial"/>
          <w:sz w:val="26"/>
          <w:szCs w:val="26"/>
        </w:rPr>
        <w:t>por morte. 3. Lei n. 9.032, de 1995. Benefícios concedidos antes</w:t>
      </w:r>
      <w:r>
        <w:rPr>
          <w:rFonts w:ascii="Arial" w:hAnsi="Arial" w:cs="Arial"/>
          <w:sz w:val="26"/>
          <w:szCs w:val="26"/>
        </w:rPr>
        <w:t xml:space="preserve"> </w:t>
      </w:r>
      <w:r w:rsidRPr="00427532">
        <w:rPr>
          <w:rFonts w:ascii="Arial" w:hAnsi="Arial" w:cs="Arial"/>
          <w:sz w:val="26"/>
          <w:szCs w:val="26"/>
        </w:rPr>
        <w:t>de sua vigência. Inaplicabilidade. 4. Aplicação retroativa.</w:t>
      </w:r>
      <w:r>
        <w:rPr>
          <w:rFonts w:ascii="Arial" w:hAnsi="Arial" w:cs="Arial"/>
          <w:sz w:val="26"/>
          <w:szCs w:val="26"/>
        </w:rPr>
        <w:t xml:space="preserve"> </w:t>
      </w:r>
      <w:r w:rsidRPr="00427532">
        <w:rPr>
          <w:rFonts w:ascii="Arial" w:hAnsi="Arial" w:cs="Arial"/>
          <w:sz w:val="26"/>
          <w:szCs w:val="26"/>
        </w:rPr>
        <w:t>Ausência de autorização legal. 5. Cláusula indicativa de fonte</w:t>
      </w:r>
      <w:r>
        <w:rPr>
          <w:rFonts w:ascii="Arial" w:hAnsi="Arial" w:cs="Arial"/>
          <w:sz w:val="26"/>
          <w:szCs w:val="26"/>
        </w:rPr>
        <w:t xml:space="preserve"> </w:t>
      </w:r>
      <w:r w:rsidRPr="00427532">
        <w:rPr>
          <w:rFonts w:ascii="Arial" w:hAnsi="Arial" w:cs="Arial"/>
          <w:sz w:val="26"/>
          <w:szCs w:val="26"/>
        </w:rPr>
        <w:t>de custeio correspondente à majoração o benefício</w:t>
      </w:r>
      <w:r>
        <w:rPr>
          <w:rFonts w:ascii="Arial" w:hAnsi="Arial" w:cs="Arial"/>
          <w:sz w:val="26"/>
          <w:szCs w:val="26"/>
        </w:rPr>
        <w:t xml:space="preserve"> </w:t>
      </w:r>
      <w:r w:rsidRPr="00427532">
        <w:rPr>
          <w:rFonts w:ascii="Arial" w:hAnsi="Arial" w:cs="Arial"/>
          <w:sz w:val="26"/>
          <w:szCs w:val="26"/>
        </w:rPr>
        <w:t>previdenciário. Ausência. 6. Jurisprudência pacificada na Corte.</w:t>
      </w:r>
      <w:r>
        <w:rPr>
          <w:rFonts w:ascii="Arial" w:hAnsi="Arial" w:cs="Arial"/>
          <w:sz w:val="26"/>
          <w:szCs w:val="26"/>
        </w:rPr>
        <w:t xml:space="preserve"> </w:t>
      </w:r>
      <w:r w:rsidRPr="00427532">
        <w:rPr>
          <w:rFonts w:ascii="Arial" w:hAnsi="Arial" w:cs="Arial"/>
          <w:sz w:val="26"/>
          <w:szCs w:val="26"/>
        </w:rPr>
        <w:t>Regime de repercussão geral. Aplicabilidade. 7. Questão de</w:t>
      </w:r>
      <w:r>
        <w:rPr>
          <w:rFonts w:ascii="Arial" w:hAnsi="Arial" w:cs="Arial"/>
          <w:sz w:val="26"/>
          <w:szCs w:val="26"/>
        </w:rPr>
        <w:t xml:space="preserve"> </w:t>
      </w:r>
      <w:r w:rsidRPr="00427532">
        <w:rPr>
          <w:rFonts w:ascii="Arial" w:hAnsi="Arial" w:cs="Arial"/>
          <w:sz w:val="26"/>
          <w:szCs w:val="26"/>
        </w:rPr>
        <w:t>ordem acolhida para reafirmar a jurisprudência do Tribunal e</w:t>
      </w:r>
      <w:r>
        <w:rPr>
          <w:rFonts w:ascii="Arial" w:hAnsi="Arial" w:cs="Arial"/>
          <w:sz w:val="26"/>
          <w:szCs w:val="26"/>
        </w:rPr>
        <w:t xml:space="preserve"> </w:t>
      </w:r>
      <w:r w:rsidRPr="00427532">
        <w:rPr>
          <w:rFonts w:ascii="Arial" w:hAnsi="Arial" w:cs="Arial"/>
          <w:sz w:val="26"/>
          <w:szCs w:val="26"/>
        </w:rPr>
        <w:t>determinar a devolução aos tribunais de origem dos recursos</w:t>
      </w:r>
      <w:r>
        <w:rPr>
          <w:rFonts w:ascii="Arial" w:hAnsi="Arial" w:cs="Arial"/>
          <w:sz w:val="26"/>
          <w:szCs w:val="26"/>
        </w:rPr>
        <w:t xml:space="preserve"> </w:t>
      </w:r>
      <w:r w:rsidRPr="00427532">
        <w:rPr>
          <w:rFonts w:ascii="Arial" w:hAnsi="Arial" w:cs="Arial"/>
          <w:sz w:val="26"/>
          <w:szCs w:val="26"/>
        </w:rPr>
        <w:t>extraordinários e agravos de instrumento que versem sobre o</w:t>
      </w:r>
      <w:r>
        <w:rPr>
          <w:rFonts w:ascii="Arial" w:hAnsi="Arial" w:cs="Arial"/>
          <w:sz w:val="26"/>
          <w:szCs w:val="26"/>
        </w:rPr>
        <w:t xml:space="preserve"> </w:t>
      </w:r>
      <w:r w:rsidRPr="00427532">
        <w:rPr>
          <w:rFonts w:ascii="Arial" w:hAnsi="Arial" w:cs="Arial"/>
          <w:sz w:val="26"/>
          <w:szCs w:val="26"/>
        </w:rPr>
        <w:t>mesmo tema, para adoção do procedimento legal. 8. Recurso</w:t>
      </w:r>
      <w:r>
        <w:rPr>
          <w:rFonts w:ascii="Arial" w:hAnsi="Arial" w:cs="Arial"/>
          <w:sz w:val="26"/>
          <w:szCs w:val="26"/>
        </w:rPr>
        <w:t xml:space="preserve"> </w:t>
      </w:r>
      <w:r w:rsidRPr="00427532">
        <w:rPr>
          <w:rFonts w:ascii="Arial" w:hAnsi="Arial" w:cs="Arial"/>
          <w:sz w:val="26"/>
          <w:szCs w:val="26"/>
        </w:rPr>
        <w:t>extraordinário a que se dá provimento”. (RE 597.389-QO-RG,</w:t>
      </w:r>
      <w:r>
        <w:rPr>
          <w:rFonts w:ascii="Arial" w:hAnsi="Arial" w:cs="Arial"/>
          <w:sz w:val="26"/>
          <w:szCs w:val="26"/>
        </w:rPr>
        <w:t xml:space="preserve"> </w:t>
      </w:r>
      <w:r w:rsidRPr="00427532">
        <w:rPr>
          <w:rFonts w:ascii="Arial" w:hAnsi="Arial" w:cs="Arial"/>
          <w:sz w:val="26"/>
          <w:szCs w:val="26"/>
        </w:rPr>
        <w:t>de minha relatoria, Pleno, julgamento em 22.4.2009.)</w:t>
      </w:r>
    </w:p>
    <w:p w14:paraId="4FD94B25" w14:textId="090AE8C5" w:rsidR="00F46227" w:rsidRDefault="00F46227" w:rsidP="006C77C9">
      <w:pPr>
        <w:spacing w:after="100" w:afterAutospacing="1" w:line="360" w:lineRule="auto"/>
        <w:ind w:firstLine="1134"/>
        <w:jc w:val="both"/>
        <w:rPr>
          <w:rFonts w:ascii="Arial" w:hAnsi="Arial" w:cs="Arial"/>
          <w:sz w:val="26"/>
          <w:szCs w:val="26"/>
        </w:rPr>
      </w:pPr>
      <w:r>
        <w:rPr>
          <w:rFonts w:ascii="Arial" w:hAnsi="Arial" w:cs="Arial"/>
          <w:sz w:val="26"/>
          <w:szCs w:val="26"/>
        </w:rPr>
        <w:t>Portanto,</w:t>
      </w:r>
      <w:r w:rsidR="00F273A5" w:rsidRPr="00F273A5">
        <w:rPr>
          <w:rFonts w:ascii="Arial" w:hAnsi="Arial" w:cs="Arial"/>
          <w:sz w:val="26"/>
          <w:szCs w:val="26"/>
        </w:rPr>
        <w:t xml:space="preserve"> lei federal que aumentar o universo de beneficiários do</w:t>
      </w:r>
      <w:r w:rsidR="00F273A5">
        <w:rPr>
          <w:rFonts w:ascii="Arial" w:hAnsi="Arial" w:cs="Arial"/>
          <w:sz w:val="26"/>
          <w:szCs w:val="26"/>
        </w:rPr>
        <w:t xml:space="preserve"> </w:t>
      </w:r>
      <w:r w:rsidR="00F273A5" w:rsidRPr="00F273A5">
        <w:rPr>
          <w:rFonts w:ascii="Arial" w:hAnsi="Arial" w:cs="Arial"/>
          <w:sz w:val="26"/>
          <w:szCs w:val="26"/>
        </w:rPr>
        <w:t>benefício de prestação continuada (BPC), sem indicar a</w:t>
      </w:r>
      <w:r w:rsidR="00F273A5">
        <w:rPr>
          <w:rFonts w:ascii="Arial" w:hAnsi="Arial" w:cs="Arial"/>
          <w:sz w:val="26"/>
          <w:szCs w:val="26"/>
        </w:rPr>
        <w:t xml:space="preserve"> </w:t>
      </w:r>
      <w:r w:rsidR="00F273A5" w:rsidRPr="00F273A5">
        <w:rPr>
          <w:rFonts w:ascii="Arial" w:hAnsi="Arial" w:cs="Arial"/>
          <w:sz w:val="26"/>
          <w:szCs w:val="26"/>
        </w:rPr>
        <w:t>correspondente fonte de custeio, é inconstitucional e,</w:t>
      </w:r>
      <w:r w:rsidR="00F273A5">
        <w:rPr>
          <w:rFonts w:ascii="Arial" w:hAnsi="Arial" w:cs="Arial"/>
          <w:sz w:val="26"/>
          <w:szCs w:val="26"/>
        </w:rPr>
        <w:t xml:space="preserve"> </w:t>
      </w:r>
      <w:r w:rsidR="00F273A5" w:rsidRPr="00F273A5">
        <w:rPr>
          <w:rFonts w:ascii="Arial" w:hAnsi="Arial" w:cs="Arial"/>
          <w:sz w:val="26"/>
          <w:szCs w:val="26"/>
        </w:rPr>
        <w:t>portanto, inválida e nula de pleno direito</w:t>
      </w:r>
      <w:r w:rsidR="00361A9C">
        <w:rPr>
          <w:rFonts w:ascii="Arial" w:hAnsi="Arial" w:cs="Arial"/>
          <w:sz w:val="26"/>
          <w:szCs w:val="26"/>
        </w:rPr>
        <w:t>, na linha do entendimento do STF.</w:t>
      </w:r>
    </w:p>
    <w:p w14:paraId="43C9C22B" w14:textId="77777777" w:rsidR="00636867" w:rsidRDefault="00636867" w:rsidP="00C16906">
      <w:pPr>
        <w:spacing w:after="100" w:afterAutospacing="1" w:line="360" w:lineRule="auto"/>
        <w:jc w:val="both"/>
        <w:rPr>
          <w:rFonts w:ascii="Arial" w:hAnsi="Arial" w:cs="Arial"/>
          <w:sz w:val="26"/>
          <w:szCs w:val="26"/>
        </w:rPr>
      </w:pPr>
    </w:p>
    <w:p w14:paraId="31F31CE1" w14:textId="173EC7C6" w:rsidR="00FB49F7" w:rsidRDefault="00FB49F7" w:rsidP="00FA6AFD">
      <w:pPr>
        <w:spacing w:after="100" w:afterAutospacing="1" w:line="360" w:lineRule="auto"/>
        <w:jc w:val="both"/>
        <w:rPr>
          <w:rFonts w:ascii="Arial" w:hAnsi="Arial" w:cs="Arial"/>
          <w:sz w:val="26"/>
          <w:szCs w:val="26"/>
        </w:rPr>
      </w:pPr>
      <w:r>
        <w:rPr>
          <w:rFonts w:ascii="Arial" w:hAnsi="Arial" w:cs="Arial"/>
          <w:sz w:val="26"/>
          <w:szCs w:val="26"/>
        </w:rPr>
        <w:t xml:space="preserve">QUESTÃO </w:t>
      </w:r>
      <w:r w:rsidR="00427532">
        <w:rPr>
          <w:rFonts w:ascii="Arial" w:hAnsi="Arial" w:cs="Arial"/>
          <w:sz w:val="26"/>
          <w:szCs w:val="26"/>
        </w:rPr>
        <w:t>7</w:t>
      </w:r>
      <w:r>
        <w:rPr>
          <w:rFonts w:ascii="Arial" w:hAnsi="Arial" w:cs="Arial"/>
          <w:sz w:val="26"/>
          <w:szCs w:val="26"/>
        </w:rPr>
        <w:t>6</w:t>
      </w:r>
    </w:p>
    <w:p w14:paraId="034E2688" w14:textId="7C6E5F7B" w:rsidR="00427532" w:rsidRPr="00427532" w:rsidRDefault="00427532" w:rsidP="00427532">
      <w:pPr>
        <w:spacing w:after="100" w:afterAutospacing="1" w:line="360" w:lineRule="auto"/>
        <w:jc w:val="both"/>
        <w:rPr>
          <w:rFonts w:ascii="Arial" w:hAnsi="Arial" w:cs="Arial"/>
          <w:sz w:val="26"/>
          <w:szCs w:val="26"/>
        </w:rPr>
      </w:pPr>
      <w:r w:rsidRPr="00427532">
        <w:rPr>
          <w:rFonts w:ascii="Arial" w:hAnsi="Arial" w:cs="Arial"/>
          <w:sz w:val="26"/>
          <w:szCs w:val="26"/>
        </w:rPr>
        <w:t>João, acometido de doença grave, necessita fazer uso contínuo</w:t>
      </w:r>
      <w:r>
        <w:rPr>
          <w:rFonts w:ascii="Arial" w:hAnsi="Arial" w:cs="Arial"/>
          <w:sz w:val="26"/>
          <w:szCs w:val="26"/>
        </w:rPr>
        <w:t xml:space="preserve"> </w:t>
      </w:r>
      <w:r w:rsidRPr="00427532">
        <w:rPr>
          <w:rFonts w:ascii="Arial" w:hAnsi="Arial" w:cs="Arial"/>
          <w:sz w:val="26"/>
          <w:szCs w:val="26"/>
        </w:rPr>
        <w:t>dos medicamentos X e Y sob risco de agravamento do seu quadro</w:t>
      </w:r>
      <w:r>
        <w:rPr>
          <w:rFonts w:ascii="Arial" w:hAnsi="Arial" w:cs="Arial"/>
          <w:sz w:val="26"/>
          <w:szCs w:val="26"/>
        </w:rPr>
        <w:t xml:space="preserve"> </w:t>
      </w:r>
      <w:r w:rsidRPr="00427532">
        <w:rPr>
          <w:rFonts w:ascii="Arial" w:hAnsi="Arial" w:cs="Arial"/>
          <w:sz w:val="26"/>
          <w:szCs w:val="26"/>
        </w:rPr>
        <w:t>de saúde e óbito. Sem condições de arcar com a compra dos</w:t>
      </w:r>
      <w:r w:rsidR="006C77C9">
        <w:rPr>
          <w:rFonts w:ascii="Arial" w:hAnsi="Arial" w:cs="Arial"/>
          <w:sz w:val="26"/>
          <w:szCs w:val="26"/>
        </w:rPr>
        <w:t xml:space="preserve"> </w:t>
      </w:r>
      <w:r w:rsidRPr="00427532">
        <w:rPr>
          <w:rFonts w:ascii="Arial" w:hAnsi="Arial" w:cs="Arial"/>
          <w:sz w:val="26"/>
          <w:szCs w:val="26"/>
        </w:rPr>
        <w:t>referidos medicamentos, João procura o Núcleo de Primeiro</w:t>
      </w:r>
      <w:r w:rsidR="006C77C9">
        <w:rPr>
          <w:rFonts w:ascii="Arial" w:hAnsi="Arial" w:cs="Arial"/>
          <w:sz w:val="26"/>
          <w:szCs w:val="26"/>
        </w:rPr>
        <w:t xml:space="preserve"> </w:t>
      </w:r>
      <w:r w:rsidRPr="00427532">
        <w:rPr>
          <w:rFonts w:ascii="Arial" w:hAnsi="Arial" w:cs="Arial"/>
          <w:sz w:val="26"/>
          <w:szCs w:val="26"/>
        </w:rPr>
        <w:t>Atendimento da Defensoria Pública de Italva, município de sua</w:t>
      </w:r>
      <w:r w:rsidR="006C77C9">
        <w:rPr>
          <w:rFonts w:ascii="Arial" w:hAnsi="Arial" w:cs="Arial"/>
          <w:sz w:val="26"/>
          <w:szCs w:val="26"/>
        </w:rPr>
        <w:t xml:space="preserve"> </w:t>
      </w:r>
      <w:r w:rsidRPr="00427532">
        <w:rPr>
          <w:rFonts w:ascii="Arial" w:hAnsi="Arial" w:cs="Arial"/>
          <w:sz w:val="26"/>
          <w:szCs w:val="26"/>
        </w:rPr>
        <w:t>residência, munido de prescrição médica que atestava a</w:t>
      </w:r>
      <w:r w:rsidR="006C77C9">
        <w:rPr>
          <w:rFonts w:ascii="Arial" w:hAnsi="Arial" w:cs="Arial"/>
          <w:sz w:val="26"/>
          <w:szCs w:val="26"/>
        </w:rPr>
        <w:t xml:space="preserve"> </w:t>
      </w:r>
      <w:r w:rsidRPr="00427532">
        <w:rPr>
          <w:rFonts w:ascii="Arial" w:hAnsi="Arial" w:cs="Arial"/>
          <w:sz w:val="26"/>
          <w:szCs w:val="26"/>
        </w:rPr>
        <w:t>imprescindibilidade do uso contínuo de tais medicamentos em</w:t>
      </w:r>
      <w:r w:rsidR="00654C0B">
        <w:rPr>
          <w:rFonts w:ascii="Arial" w:hAnsi="Arial" w:cs="Arial"/>
          <w:sz w:val="26"/>
          <w:szCs w:val="26"/>
        </w:rPr>
        <w:t xml:space="preserve"> </w:t>
      </w:r>
      <w:r w:rsidRPr="00427532">
        <w:rPr>
          <w:rFonts w:ascii="Arial" w:hAnsi="Arial" w:cs="Arial"/>
          <w:sz w:val="26"/>
          <w:szCs w:val="26"/>
        </w:rPr>
        <w:t>face da gravidade do seu quadro de saúde. Assistido pela</w:t>
      </w:r>
      <w:r w:rsidR="006C77C9">
        <w:rPr>
          <w:rFonts w:ascii="Arial" w:hAnsi="Arial" w:cs="Arial"/>
          <w:sz w:val="26"/>
          <w:szCs w:val="26"/>
        </w:rPr>
        <w:t xml:space="preserve"> </w:t>
      </w:r>
      <w:r w:rsidRPr="00427532">
        <w:rPr>
          <w:rFonts w:ascii="Arial" w:hAnsi="Arial" w:cs="Arial"/>
          <w:sz w:val="26"/>
          <w:szCs w:val="26"/>
        </w:rPr>
        <w:t>Defensoria Pública, João ingressou com ação judicial na Justiça</w:t>
      </w:r>
      <w:r w:rsidR="006C77C9">
        <w:rPr>
          <w:rFonts w:ascii="Arial" w:hAnsi="Arial" w:cs="Arial"/>
          <w:sz w:val="26"/>
          <w:szCs w:val="26"/>
        </w:rPr>
        <w:t xml:space="preserve"> </w:t>
      </w:r>
      <w:r w:rsidRPr="00427532">
        <w:rPr>
          <w:rFonts w:ascii="Arial" w:hAnsi="Arial" w:cs="Arial"/>
          <w:sz w:val="26"/>
          <w:szCs w:val="26"/>
        </w:rPr>
        <w:t>Estadual, postulando a condenação do Município de Italva e do</w:t>
      </w:r>
      <w:r w:rsidR="006C77C9">
        <w:rPr>
          <w:rFonts w:ascii="Arial" w:hAnsi="Arial" w:cs="Arial"/>
          <w:sz w:val="26"/>
          <w:szCs w:val="26"/>
        </w:rPr>
        <w:t xml:space="preserve"> </w:t>
      </w:r>
      <w:r w:rsidRPr="00427532">
        <w:rPr>
          <w:rFonts w:ascii="Arial" w:hAnsi="Arial" w:cs="Arial"/>
          <w:sz w:val="26"/>
          <w:szCs w:val="26"/>
        </w:rPr>
        <w:t>Estado do Rio de Janeiro ao fornecimento dos medicamentos X e</w:t>
      </w:r>
      <w:r w:rsidR="006C77C9">
        <w:rPr>
          <w:rFonts w:ascii="Arial" w:hAnsi="Arial" w:cs="Arial"/>
          <w:sz w:val="26"/>
          <w:szCs w:val="26"/>
        </w:rPr>
        <w:t xml:space="preserve"> </w:t>
      </w:r>
      <w:r w:rsidRPr="00427532">
        <w:rPr>
          <w:rFonts w:ascii="Arial" w:hAnsi="Arial" w:cs="Arial"/>
          <w:sz w:val="26"/>
          <w:szCs w:val="26"/>
        </w:rPr>
        <w:t>Y, indispensáveis à manutenção de sua saúde e própria vida. O</w:t>
      </w:r>
      <w:r w:rsidR="006C77C9">
        <w:rPr>
          <w:rFonts w:ascii="Arial" w:hAnsi="Arial" w:cs="Arial"/>
          <w:sz w:val="26"/>
          <w:szCs w:val="26"/>
        </w:rPr>
        <w:t xml:space="preserve"> </w:t>
      </w:r>
      <w:r w:rsidRPr="00427532">
        <w:rPr>
          <w:rFonts w:ascii="Arial" w:hAnsi="Arial" w:cs="Arial"/>
          <w:sz w:val="26"/>
          <w:szCs w:val="26"/>
        </w:rPr>
        <w:t>pedido liminar foi acolhido em 2017, e em 2020 foi prolatada</w:t>
      </w:r>
      <w:r w:rsidR="00401D0F">
        <w:rPr>
          <w:rFonts w:ascii="Arial" w:hAnsi="Arial" w:cs="Arial"/>
          <w:sz w:val="26"/>
          <w:szCs w:val="26"/>
        </w:rPr>
        <w:t xml:space="preserve"> </w:t>
      </w:r>
      <w:r w:rsidRPr="00427532">
        <w:rPr>
          <w:rFonts w:ascii="Arial" w:hAnsi="Arial" w:cs="Arial"/>
          <w:sz w:val="26"/>
          <w:szCs w:val="26"/>
        </w:rPr>
        <w:t>sentença confirmando a decisão que antecipou os efeitos da</w:t>
      </w:r>
      <w:r w:rsidR="00401D0F">
        <w:rPr>
          <w:rFonts w:ascii="Arial" w:hAnsi="Arial" w:cs="Arial"/>
          <w:sz w:val="26"/>
          <w:szCs w:val="26"/>
        </w:rPr>
        <w:t xml:space="preserve"> </w:t>
      </w:r>
      <w:r w:rsidRPr="00427532">
        <w:rPr>
          <w:rFonts w:ascii="Arial" w:hAnsi="Arial" w:cs="Arial"/>
          <w:sz w:val="26"/>
          <w:szCs w:val="26"/>
        </w:rPr>
        <w:t>tutela. Inconformado, o Estado do Rio de Janeiro recorreu</w:t>
      </w:r>
      <w:r w:rsidR="00401D0F">
        <w:rPr>
          <w:rFonts w:ascii="Arial" w:hAnsi="Arial" w:cs="Arial"/>
          <w:sz w:val="26"/>
          <w:szCs w:val="26"/>
        </w:rPr>
        <w:t xml:space="preserve"> </w:t>
      </w:r>
      <w:r w:rsidRPr="00427532">
        <w:rPr>
          <w:rFonts w:ascii="Arial" w:hAnsi="Arial" w:cs="Arial"/>
          <w:sz w:val="26"/>
          <w:szCs w:val="26"/>
        </w:rPr>
        <w:t>alegando ilegitimidade passiva no tocante ao medicamento X,</w:t>
      </w:r>
      <w:r w:rsidR="00401D0F">
        <w:rPr>
          <w:rFonts w:ascii="Arial" w:hAnsi="Arial" w:cs="Arial"/>
          <w:sz w:val="26"/>
          <w:szCs w:val="26"/>
        </w:rPr>
        <w:t xml:space="preserve"> </w:t>
      </w:r>
      <w:r w:rsidRPr="00427532">
        <w:rPr>
          <w:rFonts w:ascii="Arial" w:hAnsi="Arial" w:cs="Arial"/>
          <w:sz w:val="26"/>
          <w:szCs w:val="26"/>
        </w:rPr>
        <w:t>pois que ele integra a Relação Municipal de Medicamentos de</w:t>
      </w:r>
      <w:r w:rsidR="00401D0F">
        <w:rPr>
          <w:rFonts w:ascii="Arial" w:hAnsi="Arial" w:cs="Arial"/>
          <w:sz w:val="26"/>
          <w:szCs w:val="26"/>
        </w:rPr>
        <w:t xml:space="preserve"> </w:t>
      </w:r>
      <w:r w:rsidRPr="00427532">
        <w:rPr>
          <w:rFonts w:ascii="Arial" w:hAnsi="Arial" w:cs="Arial"/>
          <w:sz w:val="26"/>
          <w:szCs w:val="26"/>
        </w:rPr>
        <w:t>Italva, e a improcedência do pedido em relação ao medicamento</w:t>
      </w:r>
      <w:r w:rsidR="00401D0F">
        <w:rPr>
          <w:rFonts w:ascii="Arial" w:hAnsi="Arial" w:cs="Arial"/>
          <w:sz w:val="26"/>
          <w:szCs w:val="26"/>
        </w:rPr>
        <w:t xml:space="preserve"> </w:t>
      </w:r>
      <w:r w:rsidRPr="00427532">
        <w:rPr>
          <w:rFonts w:ascii="Arial" w:hAnsi="Arial" w:cs="Arial"/>
          <w:sz w:val="26"/>
          <w:szCs w:val="26"/>
        </w:rPr>
        <w:t>Y, pois que ele não é incorporado ao SUS, e João não comprovou</w:t>
      </w:r>
      <w:r w:rsidR="00401D0F">
        <w:rPr>
          <w:rFonts w:ascii="Arial" w:hAnsi="Arial" w:cs="Arial"/>
          <w:sz w:val="26"/>
          <w:szCs w:val="26"/>
        </w:rPr>
        <w:t xml:space="preserve"> </w:t>
      </w:r>
      <w:r w:rsidRPr="00427532">
        <w:rPr>
          <w:rFonts w:ascii="Arial" w:hAnsi="Arial" w:cs="Arial"/>
          <w:sz w:val="26"/>
          <w:szCs w:val="26"/>
        </w:rPr>
        <w:t>no bojo da instrução processual a ineficácia da alternativa</w:t>
      </w:r>
      <w:r w:rsidR="00401D0F">
        <w:rPr>
          <w:rFonts w:ascii="Arial" w:hAnsi="Arial" w:cs="Arial"/>
          <w:sz w:val="26"/>
          <w:szCs w:val="26"/>
        </w:rPr>
        <w:t xml:space="preserve"> </w:t>
      </w:r>
      <w:r w:rsidRPr="00427532">
        <w:rPr>
          <w:rFonts w:ascii="Arial" w:hAnsi="Arial" w:cs="Arial"/>
          <w:sz w:val="26"/>
          <w:szCs w:val="26"/>
        </w:rPr>
        <w:t>terapêutica existente na Relação Estadual de Medicamentos.</w:t>
      </w:r>
    </w:p>
    <w:p w14:paraId="1375E275" w14:textId="04FB5B63" w:rsidR="00427532" w:rsidRPr="00427532" w:rsidRDefault="00427532" w:rsidP="00427532">
      <w:pPr>
        <w:spacing w:after="100" w:afterAutospacing="1" w:line="360" w:lineRule="auto"/>
        <w:jc w:val="both"/>
        <w:rPr>
          <w:rFonts w:ascii="Arial" w:hAnsi="Arial" w:cs="Arial"/>
          <w:sz w:val="26"/>
          <w:szCs w:val="26"/>
        </w:rPr>
      </w:pPr>
      <w:r w:rsidRPr="00427532">
        <w:rPr>
          <w:rFonts w:ascii="Arial" w:hAnsi="Arial" w:cs="Arial"/>
          <w:sz w:val="26"/>
          <w:szCs w:val="26"/>
        </w:rPr>
        <w:t>À luz da jurisprudência do Supremo Tribunal Federal e do</w:t>
      </w:r>
      <w:r w:rsidR="00401D0F">
        <w:rPr>
          <w:rFonts w:ascii="Arial" w:hAnsi="Arial" w:cs="Arial"/>
          <w:sz w:val="26"/>
          <w:szCs w:val="26"/>
        </w:rPr>
        <w:t xml:space="preserve"> </w:t>
      </w:r>
      <w:r w:rsidRPr="00427532">
        <w:rPr>
          <w:rFonts w:ascii="Arial" w:hAnsi="Arial" w:cs="Arial"/>
          <w:sz w:val="26"/>
          <w:szCs w:val="26"/>
        </w:rPr>
        <w:t>Superior Tribunal de Justiça sobre o tema, é correto afirmar que o</w:t>
      </w:r>
      <w:r w:rsidR="00401D0F">
        <w:rPr>
          <w:rFonts w:ascii="Arial" w:hAnsi="Arial" w:cs="Arial"/>
          <w:sz w:val="26"/>
          <w:szCs w:val="26"/>
        </w:rPr>
        <w:t xml:space="preserve"> </w:t>
      </w:r>
      <w:r w:rsidRPr="00427532">
        <w:rPr>
          <w:rFonts w:ascii="Arial" w:hAnsi="Arial" w:cs="Arial"/>
          <w:sz w:val="26"/>
          <w:szCs w:val="26"/>
        </w:rPr>
        <w:t>apelo do Estado:</w:t>
      </w:r>
    </w:p>
    <w:p w14:paraId="5944A1C3" w14:textId="4BA5C6A3" w:rsidR="00427532" w:rsidRPr="00427532" w:rsidRDefault="00427532" w:rsidP="00427532">
      <w:pPr>
        <w:spacing w:after="100" w:afterAutospacing="1" w:line="360" w:lineRule="auto"/>
        <w:jc w:val="both"/>
        <w:rPr>
          <w:rFonts w:ascii="Arial" w:hAnsi="Arial" w:cs="Arial"/>
          <w:sz w:val="26"/>
          <w:szCs w:val="26"/>
        </w:rPr>
      </w:pPr>
      <w:r w:rsidRPr="00427532">
        <w:rPr>
          <w:rFonts w:ascii="Arial" w:hAnsi="Arial" w:cs="Arial"/>
          <w:sz w:val="26"/>
          <w:szCs w:val="26"/>
        </w:rPr>
        <w:t>(A) não pode ser provido em relação ao pleito de fornecimento</w:t>
      </w:r>
      <w:r w:rsidR="00401D0F">
        <w:rPr>
          <w:rFonts w:ascii="Arial" w:hAnsi="Arial" w:cs="Arial"/>
          <w:sz w:val="26"/>
          <w:szCs w:val="26"/>
        </w:rPr>
        <w:t xml:space="preserve"> </w:t>
      </w:r>
      <w:r w:rsidRPr="00427532">
        <w:rPr>
          <w:rFonts w:ascii="Arial" w:hAnsi="Arial" w:cs="Arial"/>
          <w:sz w:val="26"/>
          <w:szCs w:val="26"/>
        </w:rPr>
        <w:t>do medicamento Y, porque o autor apresentou prescrição</w:t>
      </w:r>
      <w:r w:rsidR="00401D0F">
        <w:rPr>
          <w:rFonts w:ascii="Arial" w:hAnsi="Arial" w:cs="Arial"/>
          <w:sz w:val="26"/>
          <w:szCs w:val="26"/>
        </w:rPr>
        <w:t xml:space="preserve"> </w:t>
      </w:r>
      <w:r w:rsidRPr="00427532">
        <w:rPr>
          <w:rFonts w:ascii="Arial" w:hAnsi="Arial" w:cs="Arial"/>
          <w:sz w:val="26"/>
          <w:szCs w:val="26"/>
        </w:rPr>
        <w:t>médica comprovando a necessidade do seu uso contínuo</w:t>
      </w:r>
      <w:r w:rsidR="00401D0F">
        <w:rPr>
          <w:rFonts w:ascii="Arial" w:hAnsi="Arial" w:cs="Arial"/>
          <w:sz w:val="26"/>
          <w:szCs w:val="26"/>
        </w:rPr>
        <w:t xml:space="preserve"> </w:t>
      </w:r>
      <w:r w:rsidRPr="00427532">
        <w:rPr>
          <w:rFonts w:ascii="Arial" w:hAnsi="Arial" w:cs="Arial"/>
          <w:sz w:val="26"/>
          <w:szCs w:val="26"/>
        </w:rPr>
        <w:t>para a manutenção de sua saúde e própria vida e, no caso, tal</w:t>
      </w:r>
      <w:r w:rsidR="00401D0F">
        <w:rPr>
          <w:rFonts w:ascii="Arial" w:hAnsi="Arial" w:cs="Arial"/>
          <w:sz w:val="26"/>
          <w:szCs w:val="26"/>
        </w:rPr>
        <w:t xml:space="preserve"> </w:t>
      </w:r>
      <w:r w:rsidRPr="00427532">
        <w:rPr>
          <w:rFonts w:ascii="Arial" w:hAnsi="Arial" w:cs="Arial"/>
          <w:sz w:val="26"/>
          <w:szCs w:val="26"/>
        </w:rPr>
        <w:t>documentação era suficiente;</w:t>
      </w:r>
    </w:p>
    <w:p w14:paraId="05074320" w14:textId="1FEE2C36" w:rsidR="00427532" w:rsidRPr="00427532" w:rsidRDefault="00427532" w:rsidP="00427532">
      <w:pPr>
        <w:spacing w:after="100" w:afterAutospacing="1" w:line="360" w:lineRule="auto"/>
        <w:jc w:val="both"/>
        <w:rPr>
          <w:rFonts w:ascii="Arial" w:hAnsi="Arial" w:cs="Arial"/>
          <w:sz w:val="26"/>
          <w:szCs w:val="26"/>
        </w:rPr>
      </w:pPr>
      <w:r w:rsidRPr="00427532">
        <w:rPr>
          <w:rFonts w:ascii="Arial" w:hAnsi="Arial" w:cs="Arial"/>
          <w:sz w:val="26"/>
          <w:szCs w:val="26"/>
        </w:rPr>
        <w:t>(B) deve ser provido, em parte, apenas no tocante ao pedido de</w:t>
      </w:r>
      <w:r w:rsidR="00401D0F">
        <w:rPr>
          <w:rFonts w:ascii="Arial" w:hAnsi="Arial" w:cs="Arial"/>
          <w:sz w:val="26"/>
          <w:szCs w:val="26"/>
        </w:rPr>
        <w:t xml:space="preserve"> </w:t>
      </w:r>
      <w:r w:rsidRPr="00427532">
        <w:rPr>
          <w:rFonts w:ascii="Arial" w:hAnsi="Arial" w:cs="Arial"/>
          <w:sz w:val="26"/>
          <w:szCs w:val="26"/>
        </w:rPr>
        <w:t>fornecimento do medicamento X, pois que o Supremo</w:t>
      </w:r>
      <w:r w:rsidR="00401D0F">
        <w:rPr>
          <w:rFonts w:ascii="Arial" w:hAnsi="Arial" w:cs="Arial"/>
          <w:sz w:val="26"/>
          <w:szCs w:val="26"/>
        </w:rPr>
        <w:t xml:space="preserve"> </w:t>
      </w:r>
      <w:r w:rsidRPr="00427532">
        <w:rPr>
          <w:rFonts w:ascii="Arial" w:hAnsi="Arial" w:cs="Arial"/>
          <w:sz w:val="26"/>
          <w:szCs w:val="26"/>
        </w:rPr>
        <w:t>Tribunal Federal consolidou o entendimento de que compete</w:t>
      </w:r>
      <w:r w:rsidR="008C590D">
        <w:rPr>
          <w:rFonts w:ascii="Arial" w:hAnsi="Arial" w:cs="Arial"/>
          <w:sz w:val="26"/>
          <w:szCs w:val="26"/>
        </w:rPr>
        <w:t xml:space="preserve"> </w:t>
      </w:r>
      <w:r w:rsidRPr="00427532">
        <w:rPr>
          <w:rFonts w:ascii="Arial" w:hAnsi="Arial" w:cs="Arial"/>
          <w:sz w:val="26"/>
          <w:szCs w:val="26"/>
        </w:rPr>
        <w:t>à autoridade judiciária direcionar o cumprimento da</w:t>
      </w:r>
      <w:r w:rsidR="008C590D">
        <w:rPr>
          <w:rFonts w:ascii="Arial" w:hAnsi="Arial" w:cs="Arial"/>
          <w:sz w:val="26"/>
          <w:szCs w:val="26"/>
        </w:rPr>
        <w:t xml:space="preserve"> </w:t>
      </w:r>
      <w:r w:rsidRPr="00427532">
        <w:rPr>
          <w:rFonts w:ascii="Arial" w:hAnsi="Arial" w:cs="Arial"/>
          <w:sz w:val="26"/>
          <w:szCs w:val="26"/>
        </w:rPr>
        <w:t>obrigação conforme as regras de repartição de competências</w:t>
      </w:r>
      <w:r w:rsidR="008C590D">
        <w:rPr>
          <w:rFonts w:ascii="Arial" w:hAnsi="Arial" w:cs="Arial"/>
          <w:sz w:val="26"/>
          <w:szCs w:val="26"/>
        </w:rPr>
        <w:t xml:space="preserve"> </w:t>
      </w:r>
      <w:r w:rsidRPr="00427532">
        <w:rPr>
          <w:rFonts w:ascii="Arial" w:hAnsi="Arial" w:cs="Arial"/>
          <w:sz w:val="26"/>
          <w:szCs w:val="26"/>
        </w:rPr>
        <w:t>administrativas no SUS;</w:t>
      </w:r>
    </w:p>
    <w:p w14:paraId="7D721A5F" w14:textId="7361A595" w:rsidR="00427532" w:rsidRPr="00427532" w:rsidRDefault="00427532" w:rsidP="00427532">
      <w:pPr>
        <w:spacing w:after="100" w:afterAutospacing="1" w:line="360" w:lineRule="auto"/>
        <w:jc w:val="both"/>
        <w:rPr>
          <w:rFonts w:ascii="Arial" w:hAnsi="Arial" w:cs="Arial"/>
          <w:sz w:val="26"/>
          <w:szCs w:val="26"/>
        </w:rPr>
      </w:pPr>
      <w:r w:rsidRPr="00427532">
        <w:rPr>
          <w:rFonts w:ascii="Arial" w:hAnsi="Arial" w:cs="Arial"/>
          <w:sz w:val="26"/>
          <w:szCs w:val="26"/>
        </w:rPr>
        <w:t>(C) não pode ser provido em relação ao pleito de fornecimento</w:t>
      </w:r>
      <w:r w:rsidR="00654C0B">
        <w:rPr>
          <w:rFonts w:ascii="Arial" w:hAnsi="Arial" w:cs="Arial"/>
          <w:sz w:val="26"/>
          <w:szCs w:val="26"/>
        </w:rPr>
        <w:t xml:space="preserve"> </w:t>
      </w:r>
      <w:r w:rsidRPr="00427532">
        <w:rPr>
          <w:rFonts w:ascii="Arial" w:hAnsi="Arial" w:cs="Arial"/>
          <w:sz w:val="26"/>
          <w:szCs w:val="26"/>
        </w:rPr>
        <w:t>do medicamento X, porque a responsabilidade nas demandas</w:t>
      </w:r>
      <w:r w:rsidR="00654C0B">
        <w:rPr>
          <w:rFonts w:ascii="Arial" w:hAnsi="Arial" w:cs="Arial"/>
          <w:sz w:val="26"/>
          <w:szCs w:val="26"/>
        </w:rPr>
        <w:t xml:space="preserve"> </w:t>
      </w:r>
      <w:r w:rsidRPr="00427532">
        <w:rPr>
          <w:rFonts w:ascii="Arial" w:hAnsi="Arial" w:cs="Arial"/>
          <w:sz w:val="26"/>
          <w:szCs w:val="26"/>
        </w:rPr>
        <w:t>prestacionais na área da saúde é solidária. Mas o</w:t>
      </w:r>
      <w:r w:rsidR="00654C0B">
        <w:rPr>
          <w:rFonts w:ascii="Arial" w:hAnsi="Arial" w:cs="Arial"/>
          <w:sz w:val="26"/>
          <w:szCs w:val="26"/>
        </w:rPr>
        <w:t xml:space="preserve"> </w:t>
      </w:r>
      <w:r w:rsidRPr="00427532">
        <w:rPr>
          <w:rFonts w:ascii="Arial" w:hAnsi="Arial" w:cs="Arial"/>
          <w:sz w:val="26"/>
          <w:szCs w:val="26"/>
        </w:rPr>
        <w:t>cumprimento da sentença, segundo o novo posicionamento</w:t>
      </w:r>
      <w:r w:rsidR="00654C0B">
        <w:rPr>
          <w:rFonts w:ascii="Arial" w:hAnsi="Arial" w:cs="Arial"/>
          <w:sz w:val="26"/>
          <w:szCs w:val="26"/>
        </w:rPr>
        <w:t xml:space="preserve"> </w:t>
      </w:r>
      <w:r w:rsidRPr="00427532">
        <w:rPr>
          <w:rFonts w:ascii="Arial" w:hAnsi="Arial" w:cs="Arial"/>
          <w:sz w:val="26"/>
          <w:szCs w:val="26"/>
        </w:rPr>
        <w:t>do Supremo Tribunal Federal, deve ser direcionado ao</w:t>
      </w:r>
      <w:r w:rsidR="00654C0B">
        <w:rPr>
          <w:rFonts w:ascii="Arial" w:hAnsi="Arial" w:cs="Arial"/>
          <w:sz w:val="26"/>
          <w:szCs w:val="26"/>
        </w:rPr>
        <w:t xml:space="preserve"> </w:t>
      </w:r>
      <w:r w:rsidRPr="00427532">
        <w:rPr>
          <w:rFonts w:ascii="Arial" w:hAnsi="Arial" w:cs="Arial"/>
          <w:sz w:val="26"/>
          <w:szCs w:val="26"/>
        </w:rPr>
        <w:t>Município de Italva, não podendo o Estado arcar com tal ônus</w:t>
      </w:r>
      <w:r w:rsidR="00654C0B">
        <w:rPr>
          <w:rFonts w:ascii="Arial" w:hAnsi="Arial" w:cs="Arial"/>
          <w:sz w:val="26"/>
          <w:szCs w:val="26"/>
        </w:rPr>
        <w:t xml:space="preserve"> </w:t>
      </w:r>
      <w:r w:rsidRPr="00427532">
        <w:rPr>
          <w:rFonts w:ascii="Arial" w:hAnsi="Arial" w:cs="Arial"/>
          <w:sz w:val="26"/>
          <w:szCs w:val="26"/>
        </w:rPr>
        <w:t>financeiro;</w:t>
      </w:r>
    </w:p>
    <w:p w14:paraId="36D46EC4" w14:textId="72720E9A" w:rsidR="00427532" w:rsidRPr="00427532" w:rsidRDefault="00427532" w:rsidP="00427532">
      <w:pPr>
        <w:spacing w:after="100" w:afterAutospacing="1" w:line="360" w:lineRule="auto"/>
        <w:jc w:val="both"/>
        <w:rPr>
          <w:rFonts w:ascii="Arial" w:hAnsi="Arial" w:cs="Arial"/>
          <w:sz w:val="26"/>
          <w:szCs w:val="26"/>
        </w:rPr>
      </w:pPr>
      <w:r w:rsidRPr="00427532">
        <w:rPr>
          <w:rFonts w:ascii="Arial" w:hAnsi="Arial" w:cs="Arial"/>
          <w:sz w:val="26"/>
          <w:szCs w:val="26"/>
        </w:rPr>
        <w:t>(D) deve ser provido, pois que, de fato, em relação ao</w:t>
      </w:r>
      <w:r w:rsidR="00654C0B">
        <w:rPr>
          <w:rFonts w:ascii="Arial" w:hAnsi="Arial" w:cs="Arial"/>
          <w:sz w:val="26"/>
          <w:szCs w:val="26"/>
        </w:rPr>
        <w:t xml:space="preserve"> </w:t>
      </w:r>
      <w:r w:rsidRPr="00427532">
        <w:rPr>
          <w:rFonts w:ascii="Arial" w:hAnsi="Arial" w:cs="Arial"/>
          <w:sz w:val="26"/>
          <w:szCs w:val="26"/>
        </w:rPr>
        <w:t>medicamento Y, era necessária a comprovação da ineficácia</w:t>
      </w:r>
      <w:r w:rsidR="00654C0B">
        <w:rPr>
          <w:rFonts w:ascii="Arial" w:hAnsi="Arial" w:cs="Arial"/>
          <w:sz w:val="26"/>
          <w:szCs w:val="26"/>
        </w:rPr>
        <w:t xml:space="preserve"> </w:t>
      </w:r>
      <w:r w:rsidRPr="00427532">
        <w:rPr>
          <w:rFonts w:ascii="Arial" w:hAnsi="Arial" w:cs="Arial"/>
          <w:sz w:val="26"/>
          <w:szCs w:val="26"/>
        </w:rPr>
        <w:t>da alternativa terapêutica existente na Relação Estadual de</w:t>
      </w:r>
      <w:r w:rsidR="00654C0B">
        <w:rPr>
          <w:rFonts w:ascii="Arial" w:hAnsi="Arial" w:cs="Arial"/>
          <w:sz w:val="26"/>
          <w:szCs w:val="26"/>
        </w:rPr>
        <w:t xml:space="preserve"> </w:t>
      </w:r>
      <w:r w:rsidRPr="00427532">
        <w:rPr>
          <w:rFonts w:ascii="Arial" w:hAnsi="Arial" w:cs="Arial"/>
          <w:sz w:val="26"/>
          <w:szCs w:val="26"/>
        </w:rPr>
        <w:t>Medicamentos para o tratamento da moléstia e, com relação</w:t>
      </w:r>
      <w:r w:rsidR="00654C0B">
        <w:rPr>
          <w:rFonts w:ascii="Arial" w:hAnsi="Arial" w:cs="Arial"/>
          <w:sz w:val="26"/>
          <w:szCs w:val="26"/>
        </w:rPr>
        <w:t xml:space="preserve"> </w:t>
      </w:r>
      <w:r w:rsidRPr="00427532">
        <w:rPr>
          <w:rFonts w:ascii="Arial" w:hAnsi="Arial" w:cs="Arial"/>
          <w:sz w:val="26"/>
          <w:szCs w:val="26"/>
        </w:rPr>
        <w:t>ao medicamento X, o Supremo Tribunal Federal consolidou o</w:t>
      </w:r>
      <w:r w:rsidR="00654C0B">
        <w:rPr>
          <w:rFonts w:ascii="Arial" w:hAnsi="Arial" w:cs="Arial"/>
          <w:sz w:val="26"/>
          <w:szCs w:val="26"/>
        </w:rPr>
        <w:t xml:space="preserve"> </w:t>
      </w:r>
      <w:r w:rsidRPr="00427532">
        <w:rPr>
          <w:rFonts w:ascii="Arial" w:hAnsi="Arial" w:cs="Arial"/>
          <w:sz w:val="26"/>
          <w:szCs w:val="26"/>
        </w:rPr>
        <w:t>entendimento vinculante de que, nas demandas</w:t>
      </w:r>
      <w:r w:rsidR="00654C0B">
        <w:rPr>
          <w:rFonts w:ascii="Arial" w:hAnsi="Arial" w:cs="Arial"/>
          <w:sz w:val="26"/>
          <w:szCs w:val="26"/>
        </w:rPr>
        <w:t xml:space="preserve"> </w:t>
      </w:r>
      <w:r w:rsidRPr="00427532">
        <w:rPr>
          <w:rFonts w:ascii="Arial" w:hAnsi="Arial" w:cs="Arial"/>
          <w:sz w:val="26"/>
          <w:szCs w:val="26"/>
        </w:rPr>
        <w:t>prestacionais na área da saúde, o juiz deve observar as regras</w:t>
      </w:r>
      <w:r w:rsidR="00654C0B">
        <w:rPr>
          <w:rFonts w:ascii="Arial" w:hAnsi="Arial" w:cs="Arial"/>
          <w:sz w:val="26"/>
          <w:szCs w:val="26"/>
        </w:rPr>
        <w:t xml:space="preserve"> </w:t>
      </w:r>
      <w:r w:rsidRPr="00427532">
        <w:rPr>
          <w:rFonts w:ascii="Arial" w:hAnsi="Arial" w:cs="Arial"/>
          <w:sz w:val="26"/>
          <w:szCs w:val="26"/>
        </w:rPr>
        <w:t>de repartição de competências administrativas no SUS;</w:t>
      </w:r>
    </w:p>
    <w:p w14:paraId="46128D14" w14:textId="7DCBDDF5" w:rsidR="00427532" w:rsidRDefault="00427532" w:rsidP="00427532">
      <w:pPr>
        <w:spacing w:after="100" w:afterAutospacing="1" w:line="360" w:lineRule="auto"/>
        <w:jc w:val="both"/>
        <w:rPr>
          <w:rFonts w:ascii="Arial" w:hAnsi="Arial" w:cs="Arial"/>
          <w:sz w:val="26"/>
          <w:szCs w:val="26"/>
        </w:rPr>
      </w:pPr>
      <w:r w:rsidRPr="00427532">
        <w:rPr>
          <w:rFonts w:ascii="Arial" w:hAnsi="Arial" w:cs="Arial"/>
          <w:sz w:val="26"/>
          <w:szCs w:val="26"/>
        </w:rPr>
        <w:t>(E) deve ser provido, em parte, apenas no tocante ao pedido de</w:t>
      </w:r>
      <w:r w:rsidR="00654C0B">
        <w:rPr>
          <w:rFonts w:ascii="Arial" w:hAnsi="Arial" w:cs="Arial"/>
          <w:sz w:val="26"/>
          <w:szCs w:val="26"/>
        </w:rPr>
        <w:t xml:space="preserve"> </w:t>
      </w:r>
      <w:r w:rsidRPr="00427532">
        <w:rPr>
          <w:rFonts w:ascii="Arial" w:hAnsi="Arial" w:cs="Arial"/>
          <w:sz w:val="26"/>
          <w:szCs w:val="26"/>
        </w:rPr>
        <w:t>fornecimento do medicamento Y, pois o Superior Tribunal de</w:t>
      </w:r>
      <w:r w:rsidR="00654C0B">
        <w:rPr>
          <w:rFonts w:ascii="Arial" w:hAnsi="Arial" w:cs="Arial"/>
          <w:sz w:val="26"/>
          <w:szCs w:val="26"/>
        </w:rPr>
        <w:t xml:space="preserve"> </w:t>
      </w:r>
      <w:r w:rsidRPr="00427532">
        <w:rPr>
          <w:rFonts w:ascii="Arial" w:hAnsi="Arial" w:cs="Arial"/>
          <w:sz w:val="26"/>
          <w:szCs w:val="26"/>
        </w:rPr>
        <w:t>Justiça consolidou o entendimento de que a concessão</w:t>
      </w:r>
      <w:r w:rsidR="00654C0B">
        <w:rPr>
          <w:rFonts w:ascii="Arial" w:hAnsi="Arial" w:cs="Arial"/>
          <w:sz w:val="26"/>
          <w:szCs w:val="26"/>
        </w:rPr>
        <w:t xml:space="preserve"> </w:t>
      </w:r>
      <w:r w:rsidRPr="00427532">
        <w:rPr>
          <w:rFonts w:ascii="Arial" w:hAnsi="Arial" w:cs="Arial"/>
          <w:sz w:val="26"/>
          <w:szCs w:val="26"/>
        </w:rPr>
        <w:t>judicial de medicamentos não incorporados ao SUS exige a</w:t>
      </w:r>
      <w:r w:rsidR="00654C0B">
        <w:rPr>
          <w:rFonts w:ascii="Arial" w:hAnsi="Arial" w:cs="Arial"/>
          <w:sz w:val="26"/>
          <w:szCs w:val="26"/>
        </w:rPr>
        <w:t xml:space="preserve"> </w:t>
      </w:r>
      <w:r w:rsidRPr="00427532">
        <w:rPr>
          <w:rFonts w:ascii="Arial" w:hAnsi="Arial" w:cs="Arial"/>
          <w:sz w:val="26"/>
          <w:szCs w:val="26"/>
        </w:rPr>
        <w:t>comprovação, pelo autor, por meio de laudo fundamentado e</w:t>
      </w:r>
      <w:r w:rsidR="00654C0B">
        <w:rPr>
          <w:rFonts w:ascii="Arial" w:hAnsi="Arial" w:cs="Arial"/>
          <w:sz w:val="26"/>
          <w:szCs w:val="26"/>
        </w:rPr>
        <w:t xml:space="preserve"> </w:t>
      </w:r>
      <w:r w:rsidRPr="00427532">
        <w:rPr>
          <w:rFonts w:ascii="Arial" w:hAnsi="Arial" w:cs="Arial"/>
          <w:sz w:val="26"/>
          <w:szCs w:val="26"/>
        </w:rPr>
        <w:t>circunstanciado expedido por médico que assiste o paciente,</w:t>
      </w:r>
      <w:r w:rsidR="00654C0B">
        <w:rPr>
          <w:rFonts w:ascii="Arial" w:hAnsi="Arial" w:cs="Arial"/>
          <w:sz w:val="26"/>
          <w:szCs w:val="26"/>
        </w:rPr>
        <w:t xml:space="preserve"> </w:t>
      </w:r>
      <w:r w:rsidRPr="00427532">
        <w:rPr>
          <w:rFonts w:ascii="Arial" w:hAnsi="Arial" w:cs="Arial"/>
          <w:sz w:val="26"/>
          <w:szCs w:val="26"/>
        </w:rPr>
        <w:t>da imprescindibilidade ou necessidade do medicamento,</w:t>
      </w:r>
      <w:r w:rsidR="00654C0B">
        <w:rPr>
          <w:rFonts w:ascii="Arial" w:hAnsi="Arial" w:cs="Arial"/>
          <w:sz w:val="26"/>
          <w:szCs w:val="26"/>
        </w:rPr>
        <w:t xml:space="preserve"> </w:t>
      </w:r>
      <w:r w:rsidRPr="00427532">
        <w:rPr>
          <w:rFonts w:ascii="Arial" w:hAnsi="Arial" w:cs="Arial"/>
          <w:sz w:val="26"/>
          <w:szCs w:val="26"/>
        </w:rPr>
        <w:t>assim como da ineficácia, para o tratamento da moléstia, dos</w:t>
      </w:r>
      <w:r w:rsidR="00654C0B">
        <w:rPr>
          <w:rFonts w:ascii="Arial" w:hAnsi="Arial" w:cs="Arial"/>
          <w:sz w:val="26"/>
          <w:szCs w:val="26"/>
        </w:rPr>
        <w:t xml:space="preserve"> </w:t>
      </w:r>
      <w:r w:rsidRPr="00427532">
        <w:rPr>
          <w:rFonts w:ascii="Arial" w:hAnsi="Arial" w:cs="Arial"/>
          <w:sz w:val="26"/>
          <w:szCs w:val="26"/>
        </w:rPr>
        <w:t>fármacos fornecidos pelo SUS.</w:t>
      </w:r>
      <w:r w:rsidRPr="00427532">
        <w:rPr>
          <w:rFonts w:ascii="Arial" w:hAnsi="Arial" w:cs="Arial"/>
          <w:sz w:val="26"/>
          <w:szCs w:val="26"/>
        </w:rPr>
        <w:cr/>
      </w:r>
    </w:p>
    <w:p w14:paraId="18C8D981" w14:textId="64D12202" w:rsidR="00FB49F7" w:rsidRDefault="00FB49F7" w:rsidP="00427532">
      <w:pPr>
        <w:spacing w:after="100" w:afterAutospacing="1" w:line="360" w:lineRule="auto"/>
        <w:jc w:val="both"/>
        <w:rPr>
          <w:rFonts w:ascii="Arial" w:hAnsi="Arial" w:cs="Arial"/>
          <w:sz w:val="26"/>
          <w:szCs w:val="26"/>
        </w:rPr>
      </w:pPr>
      <w:r>
        <w:rPr>
          <w:rFonts w:ascii="Arial" w:hAnsi="Arial" w:cs="Arial"/>
          <w:sz w:val="26"/>
          <w:szCs w:val="26"/>
        </w:rPr>
        <w:t>Comentários</w:t>
      </w:r>
    </w:p>
    <w:p w14:paraId="11C7C261" w14:textId="587790A4" w:rsidR="000B35D9" w:rsidRDefault="00654C0B" w:rsidP="000B35D9">
      <w:pPr>
        <w:spacing w:after="100" w:afterAutospacing="1" w:line="360" w:lineRule="auto"/>
        <w:ind w:firstLine="1134"/>
        <w:jc w:val="both"/>
        <w:rPr>
          <w:rFonts w:ascii="Arial" w:hAnsi="Arial" w:cs="Arial"/>
          <w:sz w:val="26"/>
          <w:szCs w:val="26"/>
        </w:rPr>
      </w:pPr>
      <w:r>
        <w:rPr>
          <w:rFonts w:ascii="Arial" w:hAnsi="Arial" w:cs="Arial"/>
          <w:sz w:val="26"/>
          <w:szCs w:val="26"/>
        </w:rPr>
        <w:t xml:space="preserve">Consoante </w:t>
      </w:r>
      <w:r w:rsidR="00ED618A">
        <w:rPr>
          <w:rFonts w:ascii="Arial" w:hAnsi="Arial" w:cs="Arial"/>
          <w:sz w:val="26"/>
          <w:szCs w:val="26"/>
        </w:rPr>
        <w:t xml:space="preserve">a </w:t>
      </w:r>
      <w:r w:rsidR="00ED618A" w:rsidRPr="00427532">
        <w:rPr>
          <w:rFonts w:ascii="Arial" w:hAnsi="Arial" w:cs="Arial"/>
          <w:sz w:val="26"/>
          <w:szCs w:val="26"/>
        </w:rPr>
        <w:t>jurisprudência do Supremo Tribunal Federal e do</w:t>
      </w:r>
      <w:r w:rsidR="00ED618A">
        <w:rPr>
          <w:rFonts w:ascii="Arial" w:hAnsi="Arial" w:cs="Arial"/>
          <w:sz w:val="26"/>
          <w:szCs w:val="26"/>
        </w:rPr>
        <w:t xml:space="preserve"> </w:t>
      </w:r>
      <w:r w:rsidR="00ED618A" w:rsidRPr="00427532">
        <w:rPr>
          <w:rFonts w:ascii="Arial" w:hAnsi="Arial" w:cs="Arial"/>
          <w:sz w:val="26"/>
          <w:szCs w:val="26"/>
        </w:rPr>
        <w:t>Superior Tribunal de Justiça sobre o tema</w:t>
      </w:r>
      <w:r w:rsidR="00ED618A">
        <w:rPr>
          <w:rFonts w:ascii="Arial" w:hAnsi="Arial" w:cs="Arial"/>
          <w:sz w:val="26"/>
          <w:szCs w:val="26"/>
        </w:rPr>
        <w:t xml:space="preserve"> abordado</w:t>
      </w:r>
      <w:r w:rsidR="00C06F9A">
        <w:rPr>
          <w:rFonts w:ascii="Arial" w:hAnsi="Arial" w:cs="Arial"/>
          <w:sz w:val="26"/>
          <w:szCs w:val="26"/>
        </w:rPr>
        <w:t>,</w:t>
      </w:r>
      <w:r w:rsidR="00ED618A">
        <w:rPr>
          <w:rFonts w:ascii="Arial" w:hAnsi="Arial" w:cs="Arial"/>
          <w:sz w:val="26"/>
          <w:szCs w:val="26"/>
        </w:rPr>
        <w:t xml:space="preserve"> </w:t>
      </w:r>
      <w:r w:rsidR="000B35D9">
        <w:rPr>
          <w:rFonts w:ascii="Arial" w:hAnsi="Arial" w:cs="Arial"/>
          <w:sz w:val="26"/>
          <w:szCs w:val="26"/>
        </w:rPr>
        <w:t>o gabarito da questão 76 merece ser alterada</w:t>
      </w:r>
      <w:r w:rsidR="00616F19">
        <w:rPr>
          <w:rFonts w:ascii="Arial" w:hAnsi="Arial" w:cs="Arial"/>
          <w:sz w:val="26"/>
          <w:szCs w:val="26"/>
        </w:rPr>
        <w:t>. O</w:t>
      </w:r>
      <w:r w:rsidR="000B35D9">
        <w:rPr>
          <w:rFonts w:ascii="Arial" w:hAnsi="Arial" w:cs="Arial"/>
          <w:sz w:val="26"/>
          <w:szCs w:val="26"/>
        </w:rPr>
        <w:t xml:space="preserve"> gabarito preliminar apresenta a letra “</w:t>
      </w:r>
      <w:r w:rsidR="00616F19">
        <w:rPr>
          <w:rFonts w:ascii="Arial" w:hAnsi="Arial" w:cs="Arial"/>
          <w:sz w:val="26"/>
          <w:szCs w:val="26"/>
        </w:rPr>
        <w:t>A</w:t>
      </w:r>
      <w:r w:rsidR="000B35D9">
        <w:rPr>
          <w:rFonts w:ascii="Arial" w:hAnsi="Arial" w:cs="Arial"/>
          <w:sz w:val="26"/>
          <w:szCs w:val="26"/>
        </w:rPr>
        <w:t xml:space="preserve">” como o item a ser assinalado. </w:t>
      </w:r>
      <w:r w:rsidR="002A087C">
        <w:rPr>
          <w:rFonts w:ascii="Arial" w:hAnsi="Arial" w:cs="Arial"/>
          <w:sz w:val="26"/>
          <w:szCs w:val="26"/>
        </w:rPr>
        <w:t>No entanto</w:t>
      </w:r>
      <w:r w:rsidR="000B35D9">
        <w:rPr>
          <w:rFonts w:ascii="Arial" w:hAnsi="Arial" w:cs="Arial"/>
          <w:sz w:val="26"/>
          <w:szCs w:val="26"/>
        </w:rPr>
        <w:t xml:space="preserve">, a </w:t>
      </w:r>
      <w:r w:rsidR="00ED618A">
        <w:rPr>
          <w:rFonts w:ascii="Arial" w:hAnsi="Arial" w:cs="Arial"/>
          <w:sz w:val="26"/>
          <w:szCs w:val="26"/>
        </w:rPr>
        <w:t xml:space="preserve">alternativa correta é a </w:t>
      </w:r>
      <w:r w:rsidR="000B35D9">
        <w:rPr>
          <w:rFonts w:ascii="Arial" w:hAnsi="Arial" w:cs="Arial"/>
          <w:sz w:val="26"/>
          <w:szCs w:val="26"/>
        </w:rPr>
        <w:t>letra “</w:t>
      </w:r>
      <w:r w:rsidR="002A087C">
        <w:rPr>
          <w:rFonts w:ascii="Arial" w:hAnsi="Arial" w:cs="Arial"/>
          <w:sz w:val="26"/>
          <w:szCs w:val="26"/>
        </w:rPr>
        <w:t>E</w:t>
      </w:r>
      <w:r w:rsidR="000B35D9">
        <w:rPr>
          <w:rFonts w:ascii="Arial" w:hAnsi="Arial" w:cs="Arial"/>
          <w:sz w:val="26"/>
          <w:szCs w:val="26"/>
        </w:rPr>
        <w:t>”</w:t>
      </w:r>
      <w:r w:rsidR="00ED618A">
        <w:rPr>
          <w:rFonts w:ascii="Arial" w:hAnsi="Arial" w:cs="Arial"/>
          <w:sz w:val="26"/>
          <w:szCs w:val="26"/>
        </w:rPr>
        <w:t>.</w:t>
      </w:r>
    </w:p>
    <w:p w14:paraId="37FC4E8D" w14:textId="2D70E111" w:rsidR="000A45EF" w:rsidRDefault="00C06F9A" w:rsidP="00482364">
      <w:pPr>
        <w:spacing w:after="100" w:afterAutospacing="1" w:line="360" w:lineRule="auto"/>
        <w:ind w:firstLine="1134"/>
        <w:jc w:val="both"/>
        <w:rPr>
          <w:rFonts w:ascii="Arial" w:hAnsi="Arial" w:cs="Arial"/>
          <w:sz w:val="26"/>
          <w:szCs w:val="26"/>
        </w:rPr>
      </w:pPr>
      <w:r>
        <w:rPr>
          <w:rFonts w:ascii="Arial" w:hAnsi="Arial" w:cs="Arial"/>
          <w:sz w:val="26"/>
          <w:szCs w:val="26"/>
        </w:rPr>
        <w:t xml:space="preserve">No caso em análise, há dois medicamentos: X e Y. </w:t>
      </w:r>
      <w:r w:rsidR="000C5CED">
        <w:rPr>
          <w:rFonts w:ascii="Arial" w:hAnsi="Arial" w:cs="Arial"/>
          <w:sz w:val="26"/>
          <w:szCs w:val="26"/>
        </w:rPr>
        <w:t>Conforme o enunciado da questão o medicamento X é padronizado, constando da</w:t>
      </w:r>
      <w:r w:rsidR="000C5CED" w:rsidRPr="00427532">
        <w:rPr>
          <w:rFonts w:ascii="Arial" w:hAnsi="Arial" w:cs="Arial"/>
          <w:sz w:val="26"/>
          <w:szCs w:val="26"/>
        </w:rPr>
        <w:t xml:space="preserve"> Relação Municipal de Medicamentos de</w:t>
      </w:r>
      <w:r w:rsidR="000C5CED">
        <w:rPr>
          <w:rFonts w:ascii="Arial" w:hAnsi="Arial" w:cs="Arial"/>
          <w:sz w:val="26"/>
          <w:szCs w:val="26"/>
        </w:rPr>
        <w:t xml:space="preserve"> </w:t>
      </w:r>
      <w:r w:rsidR="000C5CED" w:rsidRPr="00427532">
        <w:rPr>
          <w:rFonts w:ascii="Arial" w:hAnsi="Arial" w:cs="Arial"/>
          <w:sz w:val="26"/>
          <w:szCs w:val="26"/>
        </w:rPr>
        <w:t>Italva</w:t>
      </w:r>
      <w:r w:rsidR="000C5CED">
        <w:rPr>
          <w:rFonts w:ascii="Arial" w:hAnsi="Arial" w:cs="Arial"/>
          <w:sz w:val="26"/>
          <w:szCs w:val="26"/>
        </w:rPr>
        <w:t>. O medi</w:t>
      </w:r>
      <w:r w:rsidR="005275ED">
        <w:rPr>
          <w:rFonts w:ascii="Arial" w:hAnsi="Arial" w:cs="Arial"/>
          <w:sz w:val="26"/>
          <w:szCs w:val="26"/>
        </w:rPr>
        <w:t xml:space="preserve">camento Y, por sua vez, de acordo com o enunciado da questão, </w:t>
      </w:r>
      <w:r w:rsidR="005275ED" w:rsidRPr="005275ED">
        <w:rPr>
          <w:rFonts w:ascii="Arial" w:hAnsi="Arial" w:cs="Arial"/>
          <w:i/>
          <w:iCs/>
          <w:sz w:val="26"/>
          <w:szCs w:val="26"/>
        </w:rPr>
        <w:t>“ele não é incorporado ao SUS”</w:t>
      </w:r>
      <w:r w:rsidR="005275ED">
        <w:rPr>
          <w:rFonts w:ascii="Arial" w:hAnsi="Arial" w:cs="Arial"/>
          <w:sz w:val="26"/>
          <w:szCs w:val="26"/>
        </w:rPr>
        <w:t xml:space="preserve">. Assim, estamos diante </w:t>
      </w:r>
      <w:r w:rsidR="00262AC9">
        <w:rPr>
          <w:rFonts w:ascii="Arial" w:hAnsi="Arial" w:cs="Arial"/>
          <w:sz w:val="26"/>
          <w:szCs w:val="26"/>
        </w:rPr>
        <w:t xml:space="preserve">de um medicamento não padronizado, situação a qual deve ser aplicada o entendimento </w:t>
      </w:r>
      <w:r w:rsidR="00BD203F">
        <w:rPr>
          <w:rFonts w:ascii="Arial" w:hAnsi="Arial" w:cs="Arial"/>
          <w:sz w:val="26"/>
          <w:szCs w:val="26"/>
        </w:rPr>
        <w:t>tanto do STF como do STJ que exigem a presença cumulativa de três requisitos para a sua dispensação</w:t>
      </w:r>
      <w:r w:rsidR="00DF0942">
        <w:rPr>
          <w:rFonts w:ascii="Arial" w:hAnsi="Arial" w:cs="Arial"/>
          <w:sz w:val="26"/>
          <w:szCs w:val="26"/>
        </w:rPr>
        <w:t>. Senão vejamos:</w:t>
      </w:r>
    </w:p>
    <w:p w14:paraId="1CD7720F" w14:textId="77777777" w:rsidR="001101D3" w:rsidRPr="00CD050C" w:rsidRDefault="001101D3" w:rsidP="001101D3">
      <w:pPr>
        <w:spacing w:after="100" w:afterAutospacing="1" w:line="360" w:lineRule="auto"/>
        <w:ind w:firstLine="1418"/>
        <w:jc w:val="both"/>
        <w:rPr>
          <w:rFonts w:ascii="Arial" w:hAnsi="Arial" w:cs="Arial"/>
          <w:sz w:val="26"/>
          <w:szCs w:val="26"/>
        </w:rPr>
      </w:pPr>
      <w:r w:rsidRPr="00CD050C">
        <w:rPr>
          <w:rFonts w:ascii="Arial" w:hAnsi="Arial" w:cs="Arial"/>
          <w:sz w:val="26"/>
          <w:szCs w:val="26"/>
        </w:rPr>
        <w:t xml:space="preserve">A tese afetada pelo STJ, nos autos do Recurso Especial n. 1.657.156-RJ, de relatoria do Ministro Benedito Gonçalves, foi a seguinte: </w:t>
      </w:r>
    </w:p>
    <w:p w14:paraId="103F5968" w14:textId="77777777" w:rsidR="001101D3" w:rsidRPr="001101D3" w:rsidRDefault="001101D3" w:rsidP="001101D3">
      <w:pPr>
        <w:spacing w:after="100" w:afterAutospacing="1" w:line="360" w:lineRule="auto"/>
        <w:ind w:left="2268"/>
        <w:jc w:val="both"/>
        <w:rPr>
          <w:rFonts w:ascii="Arial" w:hAnsi="Arial" w:cs="Arial"/>
          <w:sz w:val="26"/>
          <w:szCs w:val="26"/>
        </w:rPr>
      </w:pPr>
      <w:r w:rsidRPr="001101D3">
        <w:rPr>
          <w:rFonts w:ascii="Arial" w:hAnsi="Arial" w:cs="Arial"/>
          <w:i/>
          <w:iCs/>
          <w:sz w:val="26"/>
          <w:szCs w:val="26"/>
        </w:rPr>
        <w:t xml:space="preserve">A concessão dos medicamentos não incorporados em atos normativos do SUS exige a </w:t>
      </w:r>
      <w:r w:rsidRPr="001101D3">
        <w:rPr>
          <w:rFonts w:ascii="Arial" w:hAnsi="Arial" w:cs="Arial"/>
          <w:i/>
          <w:iCs/>
          <w:sz w:val="26"/>
          <w:szCs w:val="26"/>
          <w:u w:val="single"/>
        </w:rPr>
        <w:t>presença cumulativa dos seguintes requisitos</w:t>
      </w:r>
      <w:r w:rsidRPr="001101D3">
        <w:rPr>
          <w:rFonts w:ascii="Arial" w:hAnsi="Arial" w:cs="Arial"/>
          <w:i/>
          <w:iCs/>
          <w:sz w:val="26"/>
          <w:szCs w:val="26"/>
        </w:rPr>
        <w:t xml:space="preserve">: </w:t>
      </w:r>
    </w:p>
    <w:p w14:paraId="6955A7D8" w14:textId="77777777" w:rsidR="001101D3" w:rsidRPr="001101D3" w:rsidRDefault="001101D3" w:rsidP="001101D3">
      <w:pPr>
        <w:spacing w:after="100" w:afterAutospacing="1" w:line="360" w:lineRule="auto"/>
        <w:ind w:left="2268"/>
        <w:jc w:val="both"/>
        <w:rPr>
          <w:rFonts w:ascii="Arial" w:hAnsi="Arial" w:cs="Arial"/>
          <w:sz w:val="26"/>
          <w:szCs w:val="26"/>
        </w:rPr>
      </w:pPr>
      <w:r w:rsidRPr="001101D3">
        <w:rPr>
          <w:rFonts w:ascii="Arial" w:hAnsi="Arial" w:cs="Arial"/>
          <w:i/>
          <w:iCs/>
          <w:sz w:val="26"/>
          <w:szCs w:val="26"/>
        </w:rPr>
        <w:t xml:space="preserve">(i) Comprovação, por meio de laudo médico fundamentado e circunstanciado expedido por médico que assiste o paciente, da imprescindibilidade ou necessidade do medicamento, assim como da ineficácia, para o tratamento da moléstia, dos fármacos fornecidos pelo SUS; </w:t>
      </w:r>
    </w:p>
    <w:p w14:paraId="16150B19" w14:textId="77777777" w:rsidR="001101D3" w:rsidRPr="001101D3" w:rsidRDefault="001101D3" w:rsidP="001101D3">
      <w:pPr>
        <w:spacing w:after="100" w:afterAutospacing="1" w:line="360" w:lineRule="auto"/>
        <w:ind w:left="2268"/>
        <w:jc w:val="both"/>
        <w:rPr>
          <w:rFonts w:ascii="Arial" w:hAnsi="Arial" w:cs="Arial"/>
          <w:sz w:val="26"/>
          <w:szCs w:val="26"/>
        </w:rPr>
      </w:pPr>
      <w:r w:rsidRPr="001101D3">
        <w:rPr>
          <w:rFonts w:ascii="Arial" w:hAnsi="Arial" w:cs="Arial"/>
          <w:i/>
          <w:iCs/>
          <w:sz w:val="26"/>
          <w:szCs w:val="26"/>
        </w:rPr>
        <w:t xml:space="preserve">(ii) incapacidade financeira de arcar com o custo do medicamento prescrito; </w:t>
      </w:r>
    </w:p>
    <w:p w14:paraId="40577AB3" w14:textId="77777777" w:rsidR="001101D3" w:rsidRPr="001101D3" w:rsidRDefault="001101D3" w:rsidP="001101D3">
      <w:pPr>
        <w:spacing w:after="100" w:afterAutospacing="1" w:line="360" w:lineRule="auto"/>
        <w:ind w:left="2268"/>
        <w:jc w:val="both"/>
        <w:rPr>
          <w:rFonts w:ascii="Arial" w:hAnsi="Arial" w:cs="Arial"/>
          <w:sz w:val="26"/>
          <w:szCs w:val="26"/>
        </w:rPr>
      </w:pPr>
      <w:r w:rsidRPr="001101D3">
        <w:rPr>
          <w:rFonts w:ascii="Arial" w:hAnsi="Arial" w:cs="Arial"/>
          <w:i/>
          <w:iCs/>
          <w:sz w:val="26"/>
          <w:szCs w:val="26"/>
        </w:rPr>
        <w:t>(iii) existência de registro na ANVISA do medicamento.</w:t>
      </w:r>
    </w:p>
    <w:p w14:paraId="6FE1ACE4" w14:textId="41AD8822" w:rsidR="00903CAC" w:rsidRDefault="00903CAC" w:rsidP="00482364">
      <w:pPr>
        <w:spacing w:after="100" w:afterAutospacing="1" w:line="360" w:lineRule="auto"/>
        <w:ind w:firstLine="1134"/>
        <w:jc w:val="both"/>
        <w:rPr>
          <w:rFonts w:ascii="Arial" w:hAnsi="Arial" w:cs="Arial"/>
          <w:sz w:val="26"/>
          <w:szCs w:val="26"/>
        </w:rPr>
      </w:pPr>
      <w:r>
        <w:rPr>
          <w:rFonts w:ascii="Arial" w:hAnsi="Arial" w:cs="Arial"/>
          <w:sz w:val="26"/>
          <w:szCs w:val="26"/>
        </w:rPr>
        <w:t xml:space="preserve">A tese de repercussão geral no Supremo Tribunal Federal de relatoria do </w:t>
      </w:r>
      <w:r w:rsidR="0051174F">
        <w:rPr>
          <w:rFonts w:ascii="Arial" w:hAnsi="Arial" w:cs="Arial"/>
          <w:sz w:val="26"/>
          <w:szCs w:val="26"/>
        </w:rPr>
        <w:t xml:space="preserve">Ministro Marco Aurélio no </w:t>
      </w:r>
      <w:r w:rsidR="00791D78" w:rsidRPr="00791D78">
        <w:rPr>
          <w:rFonts w:ascii="Arial" w:hAnsi="Arial" w:cs="Arial"/>
          <w:sz w:val="26"/>
          <w:szCs w:val="26"/>
        </w:rPr>
        <w:t>RE 566471</w:t>
      </w:r>
      <w:r w:rsidR="00791D78">
        <w:rPr>
          <w:rFonts w:ascii="Arial" w:hAnsi="Arial" w:cs="Arial"/>
          <w:sz w:val="26"/>
          <w:szCs w:val="26"/>
        </w:rPr>
        <w:t>:</w:t>
      </w:r>
    </w:p>
    <w:p w14:paraId="394C5CF7" w14:textId="1A95E411" w:rsidR="00791D78" w:rsidRPr="00791D78" w:rsidRDefault="00791D78" w:rsidP="00791D78">
      <w:pPr>
        <w:spacing w:after="100" w:afterAutospacing="1" w:line="360" w:lineRule="auto"/>
        <w:ind w:left="2268"/>
        <w:jc w:val="both"/>
        <w:rPr>
          <w:rFonts w:ascii="Arial" w:hAnsi="Arial" w:cs="Arial"/>
          <w:i/>
          <w:iCs/>
          <w:sz w:val="26"/>
          <w:szCs w:val="26"/>
        </w:rPr>
      </w:pPr>
      <w:r w:rsidRPr="00791D78">
        <w:rPr>
          <w:rFonts w:ascii="Arial" w:hAnsi="Arial" w:cs="Arial"/>
          <w:i/>
          <w:iCs/>
          <w:sz w:val="26"/>
          <w:szCs w:val="26"/>
        </w:rPr>
        <w:t>"O reconhecimento do direito individual ao fornecimento, pelo Estado, de medicamento de alto custo, não incluído em Política Nacional de Medicamentos ou em Programa de Medicamentos de Dispensação em Caráter Excepcional, depende da comprovação da imprescindibilidade – adequação e necessidade –, da impossibilidade de substituição do fármaco e da incapacidade financeira do enfermo e dos membros da família solidária, respeitadas as disposições sobre alimentos dos artigos 1.694 a 1.710 do Código Civil.”</w:t>
      </w:r>
    </w:p>
    <w:p w14:paraId="4CC29028" w14:textId="54738C7E" w:rsidR="00DF0942" w:rsidRDefault="00DF0942" w:rsidP="00482364">
      <w:pPr>
        <w:spacing w:after="100" w:afterAutospacing="1" w:line="360" w:lineRule="auto"/>
        <w:ind w:firstLine="1134"/>
        <w:jc w:val="both"/>
        <w:rPr>
          <w:rFonts w:ascii="Arial" w:hAnsi="Arial" w:cs="Arial"/>
          <w:sz w:val="26"/>
          <w:szCs w:val="26"/>
        </w:rPr>
      </w:pPr>
      <w:r>
        <w:rPr>
          <w:rFonts w:ascii="Arial" w:hAnsi="Arial" w:cs="Arial"/>
          <w:sz w:val="26"/>
          <w:szCs w:val="26"/>
        </w:rPr>
        <w:t xml:space="preserve">Desse modo, ausente o requisito da </w:t>
      </w:r>
      <w:r w:rsidRPr="00427532">
        <w:rPr>
          <w:rFonts w:ascii="Arial" w:hAnsi="Arial" w:cs="Arial"/>
          <w:sz w:val="26"/>
          <w:szCs w:val="26"/>
        </w:rPr>
        <w:t>ineficácia, para o tratamento da moléstia, dos</w:t>
      </w:r>
      <w:r>
        <w:rPr>
          <w:rFonts w:ascii="Arial" w:hAnsi="Arial" w:cs="Arial"/>
          <w:sz w:val="26"/>
          <w:szCs w:val="26"/>
        </w:rPr>
        <w:t xml:space="preserve"> </w:t>
      </w:r>
      <w:r w:rsidRPr="00427532">
        <w:rPr>
          <w:rFonts w:ascii="Arial" w:hAnsi="Arial" w:cs="Arial"/>
          <w:sz w:val="26"/>
          <w:szCs w:val="26"/>
        </w:rPr>
        <w:t>fármacos fornecidos pelo SUS</w:t>
      </w:r>
      <w:r>
        <w:rPr>
          <w:rFonts w:ascii="Arial" w:hAnsi="Arial" w:cs="Arial"/>
          <w:sz w:val="26"/>
          <w:szCs w:val="26"/>
        </w:rPr>
        <w:t xml:space="preserve"> para a dispensação do medicamento Y. </w:t>
      </w:r>
    </w:p>
    <w:p w14:paraId="1654A887" w14:textId="4A97606C" w:rsidR="009D0EBE" w:rsidRDefault="009D0EBE" w:rsidP="00482364">
      <w:pPr>
        <w:spacing w:after="100" w:afterAutospacing="1" w:line="360" w:lineRule="auto"/>
        <w:ind w:firstLine="1134"/>
        <w:jc w:val="both"/>
        <w:rPr>
          <w:rFonts w:ascii="Arial" w:hAnsi="Arial" w:cs="Arial"/>
          <w:sz w:val="26"/>
          <w:szCs w:val="26"/>
        </w:rPr>
      </w:pPr>
      <w:r>
        <w:rPr>
          <w:rFonts w:ascii="Arial" w:hAnsi="Arial" w:cs="Arial"/>
          <w:sz w:val="26"/>
          <w:szCs w:val="26"/>
        </w:rPr>
        <w:t xml:space="preserve">À luz da situação trazida na questão, o recurso do Estado </w:t>
      </w:r>
      <w:r w:rsidRPr="00427532">
        <w:rPr>
          <w:rFonts w:ascii="Arial" w:hAnsi="Arial" w:cs="Arial"/>
          <w:sz w:val="26"/>
          <w:szCs w:val="26"/>
        </w:rPr>
        <w:t>deve ser provido, em parte, apenas no tocante ao pedido de</w:t>
      </w:r>
      <w:r>
        <w:rPr>
          <w:rFonts w:ascii="Arial" w:hAnsi="Arial" w:cs="Arial"/>
          <w:sz w:val="26"/>
          <w:szCs w:val="26"/>
        </w:rPr>
        <w:t xml:space="preserve"> </w:t>
      </w:r>
      <w:r w:rsidRPr="00427532">
        <w:rPr>
          <w:rFonts w:ascii="Arial" w:hAnsi="Arial" w:cs="Arial"/>
          <w:sz w:val="26"/>
          <w:szCs w:val="26"/>
        </w:rPr>
        <w:t>fornecimento do medicamento Y, pois o Superior Tribunal de</w:t>
      </w:r>
      <w:r>
        <w:rPr>
          <w:rFonts w:ascii="Arial" w:hAnsi="Arial" w:cs="Arial"/>
          <w:sz w:val="26"/>
          <w:szCs w:val="26"/>
        </w:rPr>
        <w:t xml:space="preserve"> </w:t>
      </w:r>
      <w:r w:rsidRPr="00427532">
        <w:rPr>
          <w:rFonts w:ascii="Arial" w:hAnsi="Arial" w:cs="Arial"/>
          <w:sz w:val="26"/>
          <w:szCs w:val="26"/>
        </w:rPr>
        <w:t>Justiça consolidou o entendimento de que a concessão</w:t>
      </w:r>
      <w:r>
        <w:rPr>
          <w:rFonts w:ascii="Arial" w:hAnsi="Arial" w:cs="Arial"/>
          <w:sz w:val="26"/>
          <w:szCs w:val="26"/>
        </w:rPr>
        <w:t xml:space="preserve"> </w:t>
      </w:r>
      <w:r w:rsidRPr="00427532">
        <w:rPr>
          <w:rFonts w:ascii="Arial" w:hAnsi="Arial" w:cs="Arial"/>
          <w:sz w:val="26"/>
          <w:szCs w:val="26"/>
        </w:rPr>
        <w:t>judicial de medicamentos não incorporados ao SUS exige a</w:t>
      </w:r>
      <w:r>
        <w:rPr>
          <w:rFonts w:ascii="Arial" w:hAnsi="Arial" w:cs="Arial"/>
          <w:sz w:val="26"/>
          <w:szCs w:val="26"/>
        </w:rPr>
        <w:t xml:space="preserve"> </w:t>
      </w:r>
      <w:r w:rsidRPr="00427532">
        <w:rPr>
          <w:rFonts w:ascii="Arial" w:hAnsi="Arial" w:cs="Arial"/>
          <w:sz w:val="26"/>
          <w:szCs w:val="26"/>
        </w:rPr>
        <w:t>comprovação, pelo autor, por meio de laudo fundamentado e</w:t>
      </w:r>
      <w:r>
        <w:rPr>
          <w:rFonts w:ascii="Arial" w:hAnsi="Arial" w:cs="Arial"/>
          <w:sz w:val="26"/>
          <w:szCs w:val="26"/>
        </w:rPr>
        <w:t xml:space="preserve"> </w:t>
      </w:r>
      <w:r w:rsidRPr="00427532">
        <w:rPr>
          <w:rFonts w:ascii="Arial" w:hAnsi="Arial" w:cs="Arial"/>
          <w:sz w:val="26"/>
          <w:szCs w:val="26"/>
        </w:rPr>
        <w:t>circunstanciado expedido por médico que assiste o paciente,</w:t>
      </w:r>
      <w:r>
        <w:rPr>
          <w:rFonts w:ascii="Arial" w:hAnsi="Arial" w:cs="Arial"/>
          <w:sz w:val="26"/>
          <w:szCs w:val="26"/>
        </w:rPr>
        <w:t xml:space="preserve"> </w:t>
      </w:r>
      <w:r w:rsidRPr="00427532">
        <w:rPr>
          <w:rFonts w:ascii="Arial" w:hAnsi="Arial" w:cs="Arial"/>
          <w:sz w:val="26"/>
          <w:szCs w:val="26"/>
        </w:rPr>
        <w:t>da imprescindibilidade ou necessidade do medicamento,</w:t>
      </w:r>
      <w:r>
        <w:rPr>
          <w:rFonts w:ascii="Arial" w:hAnsi="Arial" w:cs="Arial"/>
          <w:sz w:val="26"/>
          <w:szCs w:val="26"/>
        </w:rPr>
        <w:t xml:space="preserve"> </w:t>
      </w:r>
      <w:r w:rsidRPr="009D0EBE">
        <w:rPr>
          <w:rFonts w:ascii="Arial" w:hAnsi="Arial" w:cs="Arial"/>
          <w:sz w:val="26"/>
          <w:szCs w:val="26"/>
          <w:u w:val="single"/>
        </w:rPr>
        <w:t>assim como da ineficácia, para o tratamento da moléstia, dos fármacos fornecidos pelo SUS.</w:t>
      </w:r>
      <w:r w:rsidRPr="00427532">
        <w:rPr>
          <w:rFonts w:ascii="Arial" w:hAnsi="Arial" w:cs="Arial"/>
          <w:sz w:val="26"/>
          <w:szCs w:val="26"/>
        </w:rPr>
        <w:cr/>
      </w:r>
    </w:p>
    <w:p w14:paraId="2C5AF37D" w14:textId="0DD7DE1E" w:rsidR="009D0EBE" w:rsidRDefault="00B5681F" w:rsidP="00482364">
      <w:pPr>
        <w:spacing w:after="100" w:afterAutospacing="1" w:line="360" w:lineRule="auto"/>
        <w:ind w:firstLine="1134"/>
        <w:jc w:val="both"/>
        <w:rPr>
          <w:rFonts w:ascii="Arial" w:hAnsi="Arial" w:cs="Arial"/>
          <w:sz w:val="26"/>
          <w:szCs w:val="26"/>
        </w:rPr>
      </w:pPr>
      <w:r>
        <w:rPr>
          <w:rFonts w:ascii="Arial" w:hAnsi="Arial" w:cs="Arial"/>
          <w:sz w:val="26"/>
          <w:szCs w:val="26"/>
        </w:rPr>
        <w:t>Portanto, o gabarito deve ser alterado para a letra “E”.</w:t>
      </w:r>
    </w:p>
    <w:sectPr w:rsidR="009D0E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6DF4" w14:textId="77777777" w:rsidR="00DA39DA" w:rsidRDefault="00DA39DA" w:rsidP="0013432E">
      <w:pPr>
        <w:spacing w:after="0" w:line="240" w:lineRule="auto"/>
      </w:pPr>
      <w:r>
        <w:separator/>
      </w:r>
    </w:p>
  </w:endnote>
  <w:endnote w:type="continuationSeparator" w:id="0">
    <w:p w14:paraId="07DEE256" w14:textId="77777777" w:rsidR="00DA39DA" w:rsidRDefault="00DA39DA" w:rsidP="0013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E74C" w14:textId="77777777" w:rsidR="00DA39DA" w:rsidRDefault="00DA39DA" w:rsidP="0013432E">
      <w:pPr>
        <w:spacing w:after="0" w:line="240" w:lineRule="auto"/>
      </w:pPr>
      <w:r>
        <w:separator/>
      </w:r>
    </w:p>
  </w:footnote>
  <w:footnote w:type="continuationSeparator" w:id="0">
    <w:p w14:paraId="11F20868" w14:textId="77777777" w:rsidR="00DA39DA" w:rsidRDefault="00DA39DA" w:rsidP="00134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594B"/>
    <w:multiLevelType w:val="hybridMultilevel"/>
    <w:tmpl w:val="B19E9AC4"/>
    <w:lvl w:ilvl="0" w:tplc="E61435DE">
      <w:start w:val="1"/>
      <w:numFmt w:val="lowerLetter"/>
      <w:lvlText w:val="%1)"/>
      <w:lvlJc w:val="left"/>
      <w:pPr>
        <w:tabs>
          <w:tab w:val="num" w:pos="720"/>
        </w:tabs>
        <w:ind w:left="720" w:hanging="360"/>
      </w:pPr>
    </w:lvl>
    <w:lvl w:ilvl="1" w:tplc="EAC4ED12" w:tentative="1">
      <w:start w:val="1"/>
      <w:numFmt w:val="lowerLetter"/>
      <w:lvlText w:val="%2)"/>
      <w:lvlJc w:val="left"/>
      <w:pPr>
        <w:tabs>
          <w:tab w:val="num" w:pos="1440"/>
        </w:tabs>
        <w:ind w:left="1440" w:hanging="360"/>
      </w:pPr>
    </w:lvl>
    <w:lvl w:ilvl="2" w:tplc="92E863C4" w:tentative="1">
      <w:start w:val="1"/>
      <w:numFmt w:val="lowerLetter"/>
      <w:lvlText w:val="%3)"/>
      <w:lvlJc w:val="left"/>
      <w:pPr>
        <w:tabs>
          <w:tab w:val="num" w:pos="2160"/>
        </w:tabs>
        <w:ind w:left="2160" w:hanging="360"/>
      </w:pPr>
    </w:lvl>
    <w:lvl w:ilvl="3" w:tplc="F0D6D1F0" w:tentative="1">
      <w:start w:val="1"/>
      <w:numFmt w:val="lowerLetter"/>
      <w:lvlText w:val="%4)"/>
      <w:lvlJc w:val="left"/>
      <w:pPr>
        <w:tabs>
          <w:tab w:val="num" w:pos="2880"/>
        </w:tabs>
        <w:ind w:left="2880" w:hanging="360"/>
      </w:pPr>
    </w:lvl>
    <w:lvl w:ilvl="4" w:tplc="954AB46C" w:tentative="1">
      <w:start w:val="1"/>
      <w:numFmt w:val="lowerLetter"/>
      <w:lvlText w:val="%5)"/>
      <w:lvlJc w:val="left"/>
      <w:pPr>
        <w:tabs>
          <w:tab w:val="num" w:pos="3600"/>
        </w:tabs>
        <w:ind w:left="3600" w:hanging="360"/>
      </w:pPr>
    </w:lvl>
    <w:lvl w:ilvl="5" w:tplc="FFA614DE" w:tentative="1">
      <w:start w:val="1"/>
      <w:numFmt w:val="lowerLetter"/>
      <w:lvlText w:val="%6)"/>
      <w:lvlJc w:val="left"/>
      <w:pPr>
        <w:tabs>
          <w:tab w:val="num" w:pos="4320"/>
        </w:tabs>
        <w:ind w:left="4320" w:hanging="360"/>
      </w:pPr>
    </w:lvl>
    <w:lvl w:ilvl="6" w:tplc="068CA3B4" w:tentative="1">
      <w:start w:val="1"/>
      <w:numFmt w:val="lowerLetter"/>
      <w:lvlText w:val="%7)"/>
      <w:lvlJc w:val="left"/>
      <w:pPr>
        <w:tabs>
          <w:tab w:val="num" w:pos="5040"/>
        </w:tabs>
        <w:ind w:left="5040" w:hanging="360"/>
      </w:pPr>
    </w:lvl>
    <w:lvl w:ilvl="7" w:tplc="C0341C0C" w:tentative="1">
      <w:start w:val="1"/>
      <w:numFmt w:val="lowerLetter"/>
      <w:lvlText w:val="%8)"/>
      <w:lvlJc w:val="left"/>
      <w:pPr>
        <w:tabs>
          <w:tab w:val="num" w:pos="5760"/>
        </w:tabs>
        <w:ind w:left="5760" w:hanging="360"/>
      </w:pPr>
    </w:lvl>
    <w:lvl w:ilvl="8" w:tplc="6BD8AD9C" w:tentative="1">
      <w:start w:val="1"/>
      <w:numFmt w:val="lowerLetter"/>
      <w:lvlText w:val="%9)"/>
      <w:lvlJc w:val="left"/>
      <w:pPr>
        <w:tabs>
          <w:tab w:val="num" w:pos="6480"/>
        </w:tabs>
        <w:ind w:left="6480" w:hanging="360"/>
      </w:pPr>
    </w:lvl>
  </w:abstractNum>
  <w:abstractNum w:abstractNumId="1" w15:restartNumberingAfterBreak="0">
    <w:nsid w:val="68240820"/>
    <w:multiLevelType w:val="hybridMultilevel"/>
    <w:tmpl w:val="59B03A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C6876A6"/>
    <w:multiLevelType w:val="hybridMultilevel"/>
    <w:tmpl w:val="B86459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60"/>
    <w:rsid w:val="000104E9"/>
    <w:rsid w:val="000730A4"/>
    <w:rsid w:val="000A45EF"/>
    <w:rsid w:val="000B2DBE"/>
    <w:rsid w:val="000B35D9"/>
    <w:rsid w:val="000C5C72"/>
    <w:rsid w:val="000C5CED"/>
    <w:rsid w:val="000D7B0D"/>
    <w:rsid w:val="000E093A"/>
    <w:rsid w:val="001101D3"/>
    <w:rsid w:val="0013432E"/>
    <w:rsid w:val="00140831"/>
    <w:rsid w:val="0014573C"/>
    <w:rsid w:val="00196CC5"/>
    <w:rsid w:val="001979D7"/>
    <w:rsid w:val="001D0BFB"/>
    <w:rsid w:val="001D4947"/>
    <w:rsid w:val="00225562"/>
    <w:rsid w:val="0023694D"/>
    <w:rsid w:val="0023715B"/>
    <w:rsid w:val="00262AC9"/>
    <w:rsid w:val="00272DEC"/>
    <w:rsid w:val="00283F6E"/>
    <w:rsid w:val="00292E25"/>
    <w:rsid w:val="002A087C"/>
    <w:rsid w:val="002C121E"/>
    <w:rsid w:val="002D5CD4"/>
    <w:rsid w:val="00345122"/>
    <w:rsid w:val="00361A9C"/>
    <w:rsid w:val="003720F1"/>
    <w:rsid w:val="00401D0F"/>
    <w:rsid w:val="00403799"/>
    <w:rsid w:val="00407A71"/>
    <w:rsid w:val="00427532"/>
    <w:rsid w:val="00433188"/>
    <w:rsid w:val="004511B8"/>
    <w:rsid w:val="00482364"/>
    <w:rsid w:val="00493B42"/>
    <w:rsid w:val="004B1FD0"/>
    <w:rsid w:val="004C5829"/>
    <w:rsid w:val="004E7C22"/>
    <w:rsid w:val="0051174F"/>
    <w:rsid w:val="005275ED"/>
    <w:rsid w:val="00533131"/>
    <w:rsid w:val="005948D9"/>
    <w:rsid w:val="00596F2B"/>
    <w:rsid w:val="006011CD"/>
    <w:rsid w:val="00611A2C"/>
    <w:rsid w:val="00616F19"/>
    <w:rsid w:val="006345EA"/>
    <w:rsid w:val="00636867"/>
    <w:rsid w:val="00654C0B"/>
    <w:rsid w:val="00654EAC"/>
    <w:rsid w:val="0065702B"/>
    <w:rsid w:val="00673E05"/>
    <w:rsid w:val="006A0173"/>
    <w:rsid w:val="006C3131"/>
    <w:rsid w:val="006C460E"/>
    <w:rsid w:val="006C77C9"/>
    <w:rsid w:val="006F5DA2"/>
    <w:rsid w:val="00723505"/>
    <w:rsid w:val="0074226C"/>
    <w:rsid w:val="007744A5"/>
    <w:rsid w:val="00775C8D"/>
    <w:rsid w:val="00783165"/>
    <w:rsid w:val="00791D78"/>
    <w:rsid w:val="007B3483"/>
    <w:rsid w:val="007B5613"/>
    <w:rsid w:val="007E711C"/>
    <w:rsid w:val="007F1581"/>
    <w:rsid w:val="008001F7"/>
    <w:rsid w:val="00866778"/>
    <w:rsid w:val="008823F9"/>
    <w:rsid w:val="00884F84"/>
    <w:rsid w:val="008A190C"/>
    <w:rsid w:val="008B4EA6"/>
    <w:rsid w:val="008B52D7"/>
    <w:rsid w:val="008C590D"/>
    <w:rsid w:val="008E1ED9"/>
    <w:rsid w:val="008F70FE"/>
    <w:rsid w:val="00903CAC"/>
    <w:rsid w:val="009136F2"/>
    <w:rsid w:val="00937A10"/>
    <w:rsid w:val="00952291"/>
    <w:rsid w:val="00960CB1"/>
    <w:rsid w:val="00973E92"/>
    <w:rsid w:val="00985583"/>
    <w:rsid w:val="009A6BC3"/>
    <w:rsid w:val="009D0EBE"/>
    <w:rsid w:val="00A23DFA"/>
    <w:rsid w:val="00A35A8D"/>
    <w:rsid w:val="00A4367B"/>
    <w:rsid w:val="00AA3B48"/>
    <w:rsid w:val="00AB0DB1"/>
    <w:rsid w:val="00B03A3A"/>
    <w:rsid w:val="00B060B7"/>
    <w:rsid w:val="00B245B5"/>
    <w:rsid w:val="00B27D2E"/>
    <w:rsid w:val="00B5681F"/>
    <w:rsid w:val="00B62F0B"/>
    <w:rsid w:val="00B673A4"/>
    <w:rsid w:val="00B76B5F"/>
    <w:rsid w:val="00B82660"/>
    <w:rsid w:val="00B95DC5"/>
    <w:rsid w:val="00BD203F"/>
    <w:rsid w:val="00BD6F4E"/>
    <w:rsid w:val="00BE34A7"/>
    <w:rsid w:val="00BF72CF"/>
    <w:rsid w:val="00C01491"/>
    <w:rsid w:val="00C04029"/>
    <w:rsid w:val="00C06F9A"/>
    <w:rsid w:val="00C16906"/>
    <w:rsid w:val="00C22F74"/>
    <w:rsid w:val="00C56D45"/>
    <w:rsid w:val="00C728DB"/>
    <w:rsid w:val="00CB14A3"/>
    <w:rsid w:val="00CE54AE"/>
    <w:rsid w:val="00D12088"/>
    <w:rsid w:val="00D14791"/>
    <w:rsid w:val="00D54F40"/>
    <w:rsid w:val="00D56E99"/>
    <w:rsid w:val="00DA39DA"/>
    <w:rsid w:val="00DB1CB3"/>
    <w:rsid w:val="00DE4369"/>
    <w:rsid w:val="00DF0942"/>
    <w:rsid w:val="00E14CF2"/>
    <w:rsid w:val="00E20492"/>
    <w:rsid w:val="00E21AA9"/>
    <w:rsid w:val="00E571A1"/>
    <w:rsid w:val="00E73D0F"/>
    <w:rsid w:val="00E97199"/>
    <w:rsid w:val="00EA2D49"/>
    <w:rsid w:val="00EC76FD"/>
    <w:rsid w:val="00ED618A"/>
    <w:rsid w:val="00F12F67"/>
    <w:rsid w:val="00F26685"/>
    <w:rsid w:val="00F273A5"/>
    <w:rsid w:val="00F32EAB"/>
    <w:rsid w:val="00F33590"/>
    <w:rsid w:val="00F460F6"/>
    <w:rsid w:val="00F46227"/>
    <w:rsid w:val="00F53FA8"/>
    <w:rsid w:val="00FA6AFD"/>
    <w:rsid w:val="00FB49F7"/>
    <w:rsid w:val="00FD71A2"/>
    <w:rsid w:val="00FE04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1A30"/>
  <w15:chartTrackingRefBased/>
  <w15:docId w15:val="{24C5E48C-8429-443F-A8CB-CB9A9753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432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3432E"/>
    <w:rPr>
      <w:sz w:val="20"/>
      <w:szCs w:val="20"/>
    </w:rPr>
  </w:style>
  <w:style w:type="character" w:styleId="Refdenotaderodap">
    <w:name w:val="footnote reference"/>
    <w:basedOn w:val="Fontepargpadro"/>
    <w:uiPriority w:val="99"/>
    <w:semiHidden/>
    <w:unhideWhenUsed/>
    <w:rsid w:val="0013432E"/>
    <w:rPr>
      <w:vertAlign w:val="superscript"/>
    </w:rPr>
  </w:style>
  <w:style w:type="paragraph" w:styleId="PargrafodaLista">
    <w:name w:val="List Paragraph"/>
    <w:basedOn w:val="Normal"/>
    <w:uiPriority w:val="34"/>
    <w:qFormat/>
    <w:rsid w:val="00B27D2E"/>
    <w:pPr>
      <w:ind w:left="720"/>
      <w:contextualSpacing/>
    </w:pPr>
  </w:style>
  <w:style w:type="table" w:styleId="Tabelacomgrade">
    <w:name w:val="Table Grid"/>
    <w:basedOn w:val="Tabelanormal"/>
    <w:uiPriority w:val="39"/>
    <w:rsid w:val="00C0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0066">
      <w:bodyDiv w:val="1"/>
      <w:marLeft w:val="0"/>
      <w:marRight w:val="0"/>
      <w:marTop w:val="0"/>
      <w:marBottom w:val="0"/>
      <w:divBdr>
        <w:top w:val="none" w:sz="0" w:space="0" w:color="auto"/>
        <w:left w:val="none" w:sz="0" w:space="0" w:color="auto"/>
        <w:bottom w:val="none" w:sz="0" w:space="0" w:color="auto"/>
        <w:right w:val="none" w:sz="0" w:space="0" w:color="auto"/>
      </w:divBdr>
    </w:div>
    <w:div w:id="202980628">
      <w:bodyDiv w:val="1"/>
      <w:marLeft w:val="0"/>
      <w:marRight w:val="0"/>
      <w:marTop w:val="0"/>
      <w:marBottom w:val="0"/>
      <w:divBdr>
        <w:top w:val="none" w:sz="0" w:space="0" w:color="auto"/>
        <w:left w:val="none" w:sz="0" w:space="0" w:color="auto"/>
        <w:bottom w:val="none" w:sz="0" w:space="0" w:color="auto"/>
        <w:right w:val="none" w:sz="0" w:space="0" w:color="auto"/>
      </w:divBdr>
      <w:divsChild>
        <w:div w:id="1069810350">
          <w:marLeft w:val="806"/>
          <w:marRight w:val="0"/>
          <w:marTop w:val="200"/>
          <w:marBottom w:val="0"/>
          <w:divBdr>
            <w:top w:val="none" w:sz="0" w:space="0" w:color="auto"/>
            <w:left w:val="none" w:sz="0" w:space="0" w:color="auto"/>
            <w:bottom w:val="none" w:sz="0" w:space="0" w:color="auto"/>
            <w:right w:val="none" w:sz="0" w:space="0" w:color="auto"/>
          </w:divBdr>
        </w:div>
        <w:div w:id="101264177">
          <w:marLeft w:val="806"/>
          <w:marRight w:val="0"/>
          <w:marTop w:val="200"/>
          <w:marBottom w:val="0"/>
          <w:divBdr>
            <w:top w:val="none" w:sz="0" w:space="0" w:color="auto"/>
            <w:left w:val="none" w:sz="0" w:space="0" w:color="auto"/>
            <w:bottom w:val="none" w:sz="0" w:space="0" w:color="auto"/>
            <w:right w:val="none" w:sz="0" w:space="0" w:color="auto"/>
          </w:divBdr>
        </w:div>
        <w:div w:id="2122842721">
          <w:marLeft w:val="806"/>
          <w:marRight w:val="0"/>
          <w:marTop w:val="200"/>
          <w:marBottom w:val="0"/>
          <w:divBdr>
            <w:top w:val="none" w:sz="0" w:space="0" w:color="auto"/>
            <w:left w:val="none" w:sz="0" w:space="0" w:color="auto"/>
            <w:bottom w:val="none" w:sz="0" w:space="0" w:color="auto"/>
            <w:right w:val="none" w:sz="0" w:space="0" w:color="auto"/>
          </w:divBdr>
        </w:div>
        <w:div w:id="1598831346">
          <w:marLeft w:val="806"/>
          <w:marRight w:val="0"/>
          <w:marTop w:val="200"/>
          <w:marBottom w:val="0"/>
          <w:divBdr>
            <w:top w:val="none" w:sz="0" w:space="0" w:color="auto"/>
            <w:left w:val="none" w:sz="0" w:space="0" w:color="auto"/>
            <w:bottom w:val="none" w:sz="0" w:space="0" w:color="auto"/>
            <w:right w:val="none" w:sz="0" w:space="0" w:color="auto"/>
          </w:divBdr>
        </w:div>
        <w:div w:id="2007248926">
          <w:marLeft w:val="806"/>
          <w:marRight w:val="0"/>
          <w:marTop w:val="200"/>
          <w:marBottom w:val="0"/>
          <w:divBdr>
            <w:top w:val="none" w:sz="0" w:space="0" w:color="auto"/>
            <w:left w:val="none" w:sz="0" w:space="0" w:color="auto"/>
            <w:bottom w:val="none" w:sz="0" w:space="0" w:color="auto"/>
            <w:right w:val="none" w:sz="0" w:space="0" w:color="auto"/>
          </w:divBdr>
        </w:div>
      </w:divsChild>
    </w:div>
    <w:div w:id="486438875">
      <w:bodyDiv w:val="1"/>
      <w:marLeft w:val="0"/>
      <w:marRight w:val="0"/>
      <w:marTop w:val="0"/>
      <w:marBottom w:val="0"/>
      <w:divBdr>
        <w:top w:val="none" w:sz="0" w:space="0" w:color="auto"/>
        <w:left w:val="none" w:sz="0" w:space="0" w:color="auto"/>
        <w:bottom w:val="none" w:sz="0" w:space="0" w:color="auto"/>
        <w:right w:val="none" w:sz="0" w:space="0" w:color="auto"/>
      </w:divBdr>
    </w:div>
    <w:div w:id="556860181">
      <w:bodyDiv w:val="1"/>
      <w:marLeft w:val="0"/>
      <w:marRight w:val="0"/>
      <w:marTop w:val="0"/>
      <w:marBottom w:val="0"/>
      <w:divBdr>
        <w:top w:val="none" w:sz="0" w:space="0" w:color="auto"/>
        <w:left w:val="none" w:sz="0" w:space="0" w:color="auto"/>
        <w:bottom w:val="none" w:sz="0" w:space="0" w:color="auto"/>
        <w:right w:val="none" w:sz="0" w:space="0" w:color="auto"/>
      </w:divBdr>
    </w:div>
    <w:div w:id="667559943">
      <w:bodyDiv w:val="1"/>
      <w:marLeft w:val="0"/>
      <w:marRight w:val="0"/>
      <w:marTop w:val="0"/>
      <w:marBottom w:val="0"/>
      <w:divBdr>
        <w:top w:val="none" w:sz="0" w:space="0" w:color="auto"/>
        <w:left w:val="none" w:sz="0" w:space="0" w:color="auto"/>
        <w:bottom w:val="none" w:sz="0" w:space="0" w:color="auto"/>
        <w:right w:val="none" w:sz="0" w:space="0" w:color="auto"/>
      </w:divBdr>
    </w:div>
    <w:div w:id="687681558">
      <w:bodyDiv w:val="1"/>
      <w:marLeft w:val="0"/>
      <w:marRight w:val="0"/>
      <w:marTop w:val="0"/>
      <w:marBottom w:val="0"/>
      <w:divBdr>
        <w:top w:val="none" w:sz="0" w:space="0" w:color="auto"/>
        <w:left w:val="none" w:sz="0" w:space="0" w:color="auto"/>
        <w:bottom w:val="none" w:sz="0" w:space="0" w:color="auto"/>
        <w:right w:val="none" w:sz="0" w:space="0" w:color="auto"/>
      </w:divBdr>
    </w:div>
    <w:div w:id="739987809">
      <w:bodyDiv w:val="1"/>
      <w:marLeft w:val="0"/>
      <w:marRight w:val="0"/>
      <w:marTop w:val="0"/>
      <w:marBottom w:val="0"/>
      <w:divBdr>
        <w:top w:val="none" w:sz="0" w:space="0" w:color="auto"/>
        <w:left w:val="none" w:sz="0" w:space="0" w:color="auto"/>
        <w:bottom w:val="none" w:sz="0" w:space="0" w:color="auto"/>
        <w:right w:val="none" w:sz="0" w:space="0" w:color="auto"/>
      </w:divBdr>
    </w:div>
    <w:div w:id="765347177">
      <w:bodyDiv w:val="1"/>
      <w:marLeft w:val="0"/>
      <w:marRight w:val="0"/>
      <w:marTop w:val="0"/>
      <w:marBottom w:val="0"/>
      <w:divBdr>
        <w:top w:val="none" w:sz="0" w:space="0" w:color="auto"/>
        <w:left w:val="none" w:sz="0" w:space="0" w:color="auto"/>
        <w:bottom w:val="none" w:sz="0" w:space="0" w:color="auto"/>
        <w:right w:val="none" w:sz="0" w:space="0" w:color="auto"/>
      </w:divBdr>
    </w:div>
    <w:div w:id="809246627">
      <w:bodyDiv w:val="1"/>
      <w:marLeft w:val="0"/>
      <w:marRight w:val="0"/>
      <w:marTop w:val="0"/>
      <w:marBottom w:val="0"/>
      <w:divBdr>
        <w:top w:val="none" w:sz="0" w:space="0" w:color="auto"/>
        <w:left w:val="none" w:sz="0" w:space="0" w:color="auto"/>
        <w:bottom w:val="none" w:sz="0" w:space="0" w:color="auto"/>
        <w:right w:val="none" w:sz="0" w:space="0" w:color="auto"/>
      </w:divBdr>
    </w:div>
    <w:div w:id="943346334">
      <w:bodyDiv w:val="1"/>
      <w:marLeft w:val="0"/>
      <w:marRight w:val="0"/>
      <w:marTop w:val="0"/>
      <w:marBottom w:val="0"/>
      <w:divBdr>
        <w:top w:val="none" w:sz="0" w:space="0" w:color="auto"/>
        <w:left w:val="none" w:sz="0" w:space="0" w:color="auto"/>
        <w:bottom w:val="none" w:sz="0" w:space="0" w:color="auto"/>
        <w:right w:val="none" w:sz="0" w:space="0" w:color="auto"/>
      </w:divBdr>
      <w:divsChild>
        <w:div w:id="1128737413">
          <w:marLeft w:val="0"/>
          <w:marRight w:val="0"/>
          <w:marTop w:val="75"/>
          <w:marBottom w:val="0"/>
          <w:divBdr>
            <w:top w:val="none" w:sz="0" w:space="0" w:color="auto"/>
            <w:left w:val="none" w:sz="0" w:space="0" w:color="auto"/>
            <w:bottom w:val="none" w:sz="0" w:space="0" w:color="auto"/>
            <w:right w:val="none" w:sz="0" w:space="0" w:color="auto"/>
          </w:divBdr>
        </w:div>
        <w:div w:id="1235552725">
          <w:marLeft w:val="0"/>
          <w:marRight w:val="0"/>
          <w:marTop w:val="75"/>
          <w:marBottom w:val="0"/>
          <w:divBdr>
            <w:top w:val="none" w:sz="0" w:space="0" w:color="auto"/>
            <w:left w:val="none" w:sz="0" w:space="0" w:color="auto"/>
            <w:bottom w:val="none" w:sz="0" w:space="0" w:color="auto"/>
            <w:right w:val="none" w:sz="0" w:space="0" w:color="auto"/>
          </w:divBdr>
        </w:div>
      </w:divsChild>
    </w:div>
    <w:div w:id="1111707295">
      <w:bodyDiv w:val="1"/>
      <w:marLeft w:val="0"/>
      <w:marRight w:val="0"/>
      <w:marTop w:val="0"/>
      <w:marBottom w:val="0"/>
      <w:divBdr>
        <w:top w:val="none" w:sz="0" w:space="0" w:color="auto"/>
        <w:left w:val="none" w:sz="0" w:space="0" w:color="auto"/>
        <w:bottom w:val="none" w:sz="0" w:space="0" w:color="auto"/>
        <w:right w:val="none" w:sz="0" w:space="0" w:color="auto"/>
      </w:divBdr>
    </w:div>
    <w:div w:id="1181703291">
      <w:bodyDiv w:val="1"/>
      <w:marLeft w:val="0"/>
      <w:marRight w:val="0"/>
      <w:marTop w:val="0"/>
      <w:marBottom w:val="0"/>
      <w:divBdr>
        <w:top w:val="none" w:sz="0" w:space="0" w:color="auto"/>
        <w:left w:val="none" w:sz="0" w:space="0" w:color="auto"/>
        <w:bottom w:val="none" w:sz="0" w:space="0" w:color="auto"/>
        <w:right w:val="none" w:sz="0" w:space="0" w:color="auto"/>
      </w:divBdr>
    </w:div>
    <w:div w:id="1325401875">
      <w:bodyDiv w:val="1"/>
      <w:marLeft w:val="0"/>
      <w:marRight w:val="0"/>
      <w:marTop w:val="0"/>
      <w:marBottom w:val="0"/>
      <w:divBdr>
        <w:top w:val="none" w:sz="0" w:space="0" w:color="auto"/>
        <w:left w:val="none" w:sz="0" w:space="0" w:color="auto"/>
        <w:bottom w:val="none" w:sz="0" w:space="0" w:color="auto"/>
        <w:right w:val="none" w:sz="0" w:space="0" w:color="auto"/>
      </w:divBdr>
    </w:div>
    <w:div w:id="1451243189">
      <w:bodyDiv w:val="1"/>
      <w:marLeft w:val="0"/>
      <w:marRight w:val="0"/>
      <w:marTop w:val="0"/>
      <w:marBottom w:val="0"/>
      <w:divBdr>
        <w:top w:val="none" w:sz="0" w:space="0" w:color="auto"/>
        <w:left w:val="none" w:sz="0" w:space="0" w:color="auto"/>
        <w:bottom w:val="none" w:sz="0" w:space="0" w:color="auto"/>
        <w:right w:val="none" w:sz="0" w:space="0" w:color="auto"/>
      </w:divBdr>
    </w:div>
    <w:div w:id="1460684107">
      <w:bodyDiv w:val="1"/>
      <w:marLeft w:val="0"/>
      <w:marRight w:val="0"/>
      <w:marTop w:val="0"/>
      <w:marBottom w:val="0"/>
      <w:divBdr>
        <w:top w:val="none" w:sz="0" w:space="0" w:color="auto"/>
        <w:left w:val="none" w:sz="0" w:space="0" w:color="auto"/>
        <w:bottom w:val="none" w:sz="0" w:space="0" w:color="auto"/>
        <w:right w:val="none" w:sz="0" w:space="0" w:color="auto"/>
      </w:divBdr>
    </w:div>
    <w:div w:id="1484199874">
      <w:bodyDiv w:val="1"/>
      <w:marLeft w:val="0"/>
      <w:marRight w:val="0"/>
      <w:marTop w:val="0"/>
      <w:marBottom w:val="0"/>
      <w:divBdr>
        <w:top w:val="none" w:sz="0" w:space="0" w:color="auto"/>
        <w:left w:val="none" w:sz="0" w:space="0" w:color="auto"/>
        <w:bottom w:val="none" w:sz="0" w:space="0" w:color="auto"/>
        <w:right w:val="none" w:sz="0" w:space="0" w:color="auto"/>
      </w:divBdr>
    </w:div>
    <w:div w:id="1521353917">
      <w:bodyDiv w:val="1"/>
      <w:marLeft w:val="0"/>
      <w:marRight w:val="0"/>
      <w:marTop w:val="0"/>
      <w:marBottom w:val="0"/>
      <w:divBdr>
        <w:top w:val="none" w:sz="0" w:space="0" w:color="auto"/>
        <w:left w:val="none" w:sz="0" w:space="0" w:color="auto"/>
        <w:bottom w:val="none" w:sz="0" w:space="0" w:color="auto"/>
        <w:right w:val="none" w:sz="0" w:space="0" w:color="auto"/>
      </w:divBdr>
    </w:div>
    <w:div w:id="1552227817">
      <w:bodyDiv w:val="1"/>
      <w:marLeft w:val="0"/>
      <w:marRight w:val="0"/>
      <w:marTop w:val="0"/>
      <w:marBottom w:val="0"/>
      <w:divBdr>
        <w:top w:val="none" w:sz="0" w:space="0" w:color="auto"/>
        <w:left w:val="none" w:sz="0" w:space="0" w:color="auto"/>
        <w:bottom w:val="none" w:sz="0" w:space="0" w:color="auto"/>
        <w:right w:val="none" w:sz="0" w:space="0" w:color="auto"/>
      </w:divBdr>
    </w:div>
    <w:div w:id="1554121131">
      <w:bodyDiv w:val="1"/>
      <w:marLeft w:val="0"/>
      <w:marRight w:val="0"/>
      <w:marTop w:val="0"/>
      <w:marBottom w:val="0"/>
      <w:divBdr>
        <w:top w:val="none" w:sz="0" w:space="0" w:color="auto"/>
        <w:left w:val="none" w:sz="0" w:space="0" w:color="auto"/>
        <w:bottom w:val="none" w:sz="0" w:space="0" w:color="auto"/>
        <w:right w:val="none" w:sz="0" w:space="0" w:color="auto"/>
      </w:divBdr>
    </w:div>
    <w:div w:id="1662537761">
      <w:bodyDiv w:val="1"/>
      <w:marLeft w:val="0"/>
      <w:marRight w:val="0"/>
      <w:marTop w:val="0"/>
      <w:marBottom w:val="0"/>
      <w:divBdr>
        <w:top w:val="none" w:sz="0" w:space="0" w:color="auto"/>
        <w:left w:val="none" w:sz="0" w:space="0" w:color="auto"/>
        <w:bottom w:val="none" w:sz="0" w:space="0" w:color="auto"/>
        <w:right w:val="none" w:sz="0" w:space="0" w:color="auto"/>
      </w:divBdr>
    </w:div>
    <w:div w:id="1694384600">
      <w:bodyDiv w:val="1"/>
      <w:marLeft w:val="0"/>
      <w:marRight w:val="0"/>
      <w:marTop w:val="0"/>
      <w:marBottom w:val="0"/>
      <w:divBdr>
        <w:top w:val="none" w:sz="0" w:space="0" w:color="auto"/>
        <w:left w:val="none" w:sz="0" w:space="0" w:color="auto"/>
        <w:bottom w:val="none" w:sz="0" w:space="0" w:color="auto"/>
        <w:right w:val="none" w:sz="0" w:space="0" w:color="auto"/>
      </w:divBdr>
    </w:div>
    <w:div w:id="1811706069">
      <w:bodyDiv w:val="1"/>
      <w:marLeft w:val="0"/>
      <w:marRight w:val="0"/>
      <w:marTop w:val="0"/>
      <w:marBottom w:val="0"/>
      <w:divBdr>
        <w:top w:val="none" w:sz="0" w:space="0" w:color="auto"/>
        <w:left w:val="none" w:sz="0" w:space="0" w:color="auto"/>
        <w:bottom w:val="none" w:sz="0" w:space="0" w:color="auto"/>
        <w:right w:val="none" w:sz="0" w:space="0" w:color="auto"/>
      </w:divBdr>
      <w:divsChild>
        <w:div w:id="2062557163">
          <w:marLeft w:val="806"/>
          <w:marRight w:val="0"/>
          <w:marTop w:val="200"/>
          <w:marBottom w:val="0"/>
          <w:divBdr>
            <w:top w:val="none" w:sz="0" w:space="0" w:color="auto"/>
            <w:left w:val="none" w:sz="0" w:space="0" w:color="auto"/>
            <w:bottom w:val="none" w:sz="0" w:space="0" w:color="auto"/>
            <w:right w:val="none" w:sz="0" w:space="0" w:color="auto"/>
          </w:divBdr>
        </w:div>
        <w:div w:id="509756765">
          <w:marLeft w:val="806"/>
          <w:marRight w:val="0"/>
          <w:marTop w:val="200"/>
          <w:marBottom w:val="0"/>
          <w:divBdr>
            <w:top w:val="none" w:sz="0" w:space="0" w:color="auto"/>
            <w:left w:val="none" w:sz="0" w:space="0" w:color="auto"/>
            <w:bottom w:val="none" w:sz="0" w:space="0" w:color="auto"/>
            <w:right w:val="none" w:sz="0" w:space="0" w:color="auto"/>
          </w:divBdr>
        </w:div>
        <w:div w:id="2032949481">
          <w:marLeft w:val="806"/>
          <w:marRight w:val="0"/>
          <w:marTop w:val="200"/>
          <w:marBottom w:val="0"/>
          <w:divBdr>
            <w:top w:val="none" w:sz="0" w:space="0" w:color="auto"/>
            <w:left w:val="none" w:sz="0" w:space="0" w:color="auto"/>
            <w:bottom w:val="none" w:sz="0" w:space="0" w:color="auto"/>
            <w:right w:val="none" w:sz="0" w:space="0" w:color="auto"/>
          </w:divBdr>
        </w:div>
        <w:div w:id="1102073974">
          <w:marLeft w:val="806"/>
          <w:marRight w:val="0"/>
          <w:marTop w:val="200"/>
          <w:marBottom w:val="0"/>
          <w:divBdr>
            <w:top w:val="none" w:sz="0" w:space="0" w:color="auto"/>
            <w:left w:val="none" w:sz="0" w:space="0" w:color="auto"/>
            <w:bottom w:val="none" w:sz="0" w:space="0" w:color="auto"/>
            <w:right w:val="none" w:sz="0" w:space="0" w:color="auto"/>
          </w:divBdr>
        </w:div>
      </w:divsChild>
    </w:div>
    <w:div w:id="1827554131">
      <w:bodyDiv w:val="1"/>
      <w:marLeft w:val="0"/>
      <w:marRight w:val="0"/>
      <w:marTop w:val="0"/>
      <w:marBottom w:val="0"/>
      <w:divBdr>
        <w:top w:val="none" w:sz="0" w:space="0" w:color="auto"/>
        <w:left w:val="none" w:sz="0" w:space="0" w:color="auto"/>
        <w:bottom w:val="none" w:sz="0" w:space="0" w:color="auto"/>
        <w:right w:val="none" w:sz="0" w:space="0" w:color="auto"/>
      </w:divBdr>
    </w:div>
    <w:div w:id="1899319375">
      <w:bodyDiv w:val="1"/>
      <w:marLeft w:val="0"/>
      <w:marRight w:val="0"/>
      <w:marTop w:val="0"/>
      <w:marBottom w:val="0"/>
      <w:divBdr>
        <w:top w:val="none" w:sz="0" w:space="0" w:color="auto"/>
        <w:left w:val="none" w:sz="0" w:space="0" w:color="auto"/>
        <w:bottom w:val="none" w:sz="0" w:space="0" w:color="auto"/>
        <w:right w:val="none" w:sz="0" w:space="0" w:color="auto"/>
      </w:divBdr>
    </w:div>
    <w:div w:id="2023044543">
      <w:bodyDiv w:val="1"/>
      <w:marLeft w:val="0"/>
      <w:marRight w:val="0"/>
      <w:marTop w:val="0"/>
      <w:marBottom w:val="0"/>
      <w:divBdr>
        <w:top w:val="none" w:sz="0" w:space="0" w:color="auto"/>
        <w:left w:val="none" w:sz="0" w:space="0" w:color="auto"/>
        <w:bottom w:val="none" w:sz="0" w:space="0" w:color="auto"/>
        <w:right w:val="none" w:sz="0" w:space="0" w:color="auto"/>
      </w:divBdr>
    </w:div>
    <w:div w:id="2125032707">
      <w:bodyDiv w:val="1"/>
      <w:marLeft w:val="0"/>
      <w:marRight w:val="0"/>
      <w:marTop w:val="0"/>
      <w:marBottom w:val="0"/>
      <w:divBdr>
        <w:top w:val="none" w:sz="0" w:space="0" w:color="auto"/>
        <w:left w:val="none" w:sz="0" w:space="0" w:color="auto"/>
        <w:bottom w:val="none" w:sz="0" w:space="0" w:color="auto"/>
        <w:right w:val="none" w:sz="0" w:space="0" w:color="auto"/>
      </w:divBdr>
      <w:divsChild>
        <w:div w:id="2111393076">
          <w:marLeft w:val="806"/>
          <w:marRight w:val="0"/>
          <w:marTop w:val="200"/>
          <w:marBottom w:val="0"/>
          <w:divBdr>
            <w:top w:val="none" w:sz="0" w:space="0" w:color="auto"/>
            <w:left w:val="none" w:sz="0" w:space="0" w:color="auto"/>
            <w:bottom w:val="none" w:sz="0" w:space="0" w:color="auto"/>
            <w:right w:val="none" w:sz="0" w:space="0" w:color="auto"/>
          </w:divBdr>
        </w:div>
        <w:div w:id="1684892081">
          <w:marLeft w:val="806"/>
          <w:marRight w:val="0"/>
          <w:marTop w:val="200"/>
          <w:marBottom w:val="0"/>
          <w:divBdr>
            <w:top w:val="none" w:sz="0" w:space="0" w:color="auto"/>
            <w:left w:val="none" w:sz="0" w:space="0" w:color="auto"/>
            <w:bottom w:val="none" w:sz="0" w:space="0" w:color="auto"/>
            <w:right w:val="none" w:sz="0" w:space="0" w:color="auto"/>
          </w:divBdr>
        </w:div>
        <w:div w:id="1136293151">
          <w:marLeft w:val="806"/>
          <w:marRight w:val="0"/>
          <w:marTop w:val="200"/>
          <w:marBottom w:val="0"/>
          <w:divBdr>
            <w:top w:val="none" w:sz="0" w:space="0" w:color="auto"/>
            <w:left w:val="none" w:sz="0" w:space="0" w:color="auto"/>
            <w:bottom w:val="none" w:sz="0" w:space="0" w:color="auto"/>
            <w:right w:val="none" w:sz="0" w:space="0" w:color="auto"/>
          </w:divBdr>
        </w:div>
        <w:div w:id="193181559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1C75-17B3-4F70-B999-08AB7C8782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2126</Words>
  <Characters>11483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Lusimayra Almeida Costa</dc:creator>
  <cp:keywords/>
  <dc:description/>
  <cp:lastModifiedBy>Lidia Leite</cp:lastModifiedBy>
  <cp:revision>2</cp:revision>
  <dcterms:created xsi:type="dcterms:W3CDTF">2021-06-22T18:09:00Z</dcterms:created>
  <dcterms:modified xsi:type="dcterms:W3CDTF">2021-06-22T18:09:00Z</dcterms:modified>
</cp:coreProperties>
</file>