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33" w:after="0"/>
        <w:ind w:left="825" w:right="0" w:hanging="0"/>
        <w:jc w:val="both"/>
        <w:rPr/>
      </w:pPr>
      <w:r>
        <w:rPr/>
        <w:t>Concurso TST 2017 – Técnico Judiciário – Área Administrativa</w:t>
      </w:r>
    </w:p>
    <w:p>
      <w:pPr>
        <w:pStyle w:val="Corpodetexto"/>
        <w:spacing w:before="10" w:after="0"/>
        <w:ind w:left="0" w:right="0" w:hanging="0"/>
        <w:jc w:val="both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texto"/>
        <w:ind w:left="122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Comentários sobre a prova:</w:t>
      </w:r>
    </w:p>
    <w:p>
      <w:pPr>
        <w:pStyle w:val="Corpodetexto"/>
        <w:ind w:left="0" w:right="0" w:hanging="0"/>
        <w:jc w:val="both"/>
        <w:rPr/>
      </w:pPr>
      <w:r>
        <w:rPr/>
      </w:r>
    </w:p>
    <w:p>
      <w:pPr>
        <w:pStyle w:val="Corpodetexto"/>
        <w:ind w:left="122" w:right="162" w:hanging="0"/>
        <w:jc w:val="both"/>
        <w:rPr/>
      </w:pPr>
      <w:r>
        <w:rPr/>
        <w:t xml:space="preserve">Vamos falar acerca das provas do TST. Elas parecem ter sido feitas por mim! TODOS os tópicos foram abordados em minhas aulas </w:t>
      </w:r>
      <w:r>
        <w:rPr/>
        <w:t>o</w:t>
      </w:r>
      <w:r>
        <w:rPr/>
        <w:t>nline (inclusive nos Treinamentos Intensivos, que foram gratuitamente transmitidos pelo Gran Cursos Online). Além disso, todos os tópicos citados no Mega Gran Dicas (tanto de Técnico e Analista administrativo quanto de Analista Judiciário) caíram na prova.</w:t>
      </w:r>
    </w:p>
    <w:p>
      <w:pPr>
        <w:pStyle w:val="Corpodetexto"/>
        <w:ind w:left="0" w:right="0" w:hanging="0"/>
        <w:jc w:val="both"/>
        <w:rPr/>
      </w:pPr>
      <w:r>
        <w:rPr/>
      </w:r>
    </w:p>
    <w:p>
      <w:pPr>
        <w:pStyle w:val="Corpodetexto"/>
        <w:ind w:left="122" w:right="241" w:hanging="0"/>
        <w:jc w:val="both"/>
        <w:rPr/>
      </w:pPr>
      <w:r>
        <w:rPr/>
        <w:t>Neste arquivo, vamos falar da prova de técnico. Eu havia dito, inclusive, que seriam dois textos e apenas duas questões de interpretação, o que se confirmou. Veja os assuntos de cada questão:</w:t>
      </w:r>
    </w:p>
    <w:p>
      <w:pPr>
        <w:pStyle w:val="Corpodetexto"/>
        <w:ind w:left="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exact" w:line="267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Texto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exact" w:line="267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Pontuação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auto" w:line="240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Pronomes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auto" w:line="240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Orações subordinadas adverbiais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auto" w:line="240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Emprego dos tempos e modos</w:t>
      </w:r>
      <w:r>
        <w:rPr>
          <w:spacing w:val="-6"/>
          <w:sz w:val="22"/>
        </w:rPr>
        <w:t xml:space="preserve"> </w:t>
      </w:r>
      <w:r>
        <w:rPr>
          <w:sz w:val="22"/>
        </w:rPr>
        <w:t>verbais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auto" w:line="240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Voz</w:t>
      </w:r>
      <w:r>
        <w:rPr>
          <w:spacing w:val="-7"/>
          <w:sz w:val="22"/>
        </w:rPr>
        <w:t xml:space="preserve"> </w:t>
      </w:r>
      <w:r>
        <w:rPr>
          <w:sz w:val="22"/>
        </w:rPr>
        <w:t>passiva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auto" w:line="240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Morfologia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auto" w:line="240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Pronomes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auto" w:line="240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Frases</w:t>
      </w:r>
      <w:r>
        <w:rPr>
          <w:spacing w:val="-1"/>
          <w:sz w:val="22"/>
        </w:rPr>
        <w:t xml:space="preserve"> </w:t>
      </w:r>
      <w:r>
        <w:rPr>
          <w:sz w:val="22"/>
        </w:rPr>
        <w:t>corretas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auto" w:line="240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Texto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exact" w:line="267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Pontuação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exact" w:line="267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Análise</w:t>
      </w:r>
      <w:r>
        <w:rPr>
          <w:spacing w:val="-1"/>
          <w:sz w:val="22"/>
        </w:rPr>
        <w:t xml:space="preserve"> </w:t>
      </w:r>
      <w:r>
        <w:rPr>
          <w:sz w:val="22"/>
        </w:rPr>
        <w:t>sintática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auto" w:line="240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Reconhecimento dos tempos e modos</w:t>
      </w:r>
      <w:r>
        <w:rPr>
          <w:spacing w:val="-5"/>
          <w:sz w:val="22"/>
        </w:rPr>
        <w:t xml:space="preserve"> </w:t>
      </w:r>
      <w:r>
        <w:rPr>
          <w:sz w:val="22"/>
        </w:rPr>
        <w:t>verbais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auto" w:line="240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Regência (justificativa da alternativa a ser</w:t>
      </w:r>
      <w:r>
        <w:rPr>
          <w:spacing w:val="-7"/>
          <w:sz w:val="22"/>
        </w:rPr>
        <w:t xml:space="preserve"> </w:t>
      </w:r>
      <w:r>
        <w:rPr>
          <w:sz w:val="22"/>
        </w:rPr>
        <w:t>marcada)</w:t>
      </w:r>
    </w:p>
    <w:p>
      <w:pPr>
        <w:pStyle w:val="ListParagraph"/>
        <w:numPr>
          <w:ilvl w:val="0"/>
          <w:numId w:val="2"/>
        </w:numPr>
        <w:tabs>
          <w:tab w:val="left" w:pos="842" w:leader="none"/>
        </w:tabs>
        <w:spacing w:lineRule="auto" w:line="240" w:before="0" w:after="0"/>
        <w:ind w:left="842" w:right="0" w:hanging="360"/>
        <w:jc w:val="both"/>
        <w:rPr>
          <w:sz w:val="22"/>
        </w:rPr>
      </w:pPr>
      <w:r>
        <w:rPr>
          <w:sz w:val="22"/>
        </w:rPr>
        <w:t>Crase/Verbo</w:t>
      </w:r>
      <w:r>
        <w:rPr>
          <w:spacing w:val="-3"/>
          <w:sz w:val="22"/>
        </w:rPr>
        <w:t xml:space="preserve"> </w:t>
      </w:r>
      <w:r>
        <w:rPr>
          <w:sz w:val="22"/>
        </w:rPr>
        <w:t>“haver”</w:t>
      </w:r>
    </w:p>
    <w:p>
      <w:pPr>
        <w:pStyle w:val="Corpodetexto"/>
        <w:ind w:left="0" w:right="0" w:hanging="0"/>
        <w:jc w:val="both"/>
        <w:rPr/>
      </w:pPr>
      <w:r>
        <w:rPr/>
      </w:r>
    </w:p>
    <w:p>
      <w:pPr>
        <w:pStyle w:val="Corpodetexto"/>
        <w:ind w:left="122" w:right="610" w:hanging="0"/>
        <w:jc w:val="both"/>
        <w:rPr/>
      </w:pPr>
      <w:r>
        <w:rPr/>
        <w:t xml:space="preserve">Quem assistiu ao meu curso (ou estudou pelo PDF) não só viu todos esses tópicos, mas, principalmente, </w:t>
      </w:r>
      <w:r>
        <w:rPr>
          <w:b/>
        </w:rPr>
        <w:t>viu como a FCC cobra cada um deles</w:t>
      </w:r>
      <w:r>
        <w:rPr/>
        <w:t>. Algumas questões citadas por mim merecem destaque:</w:t>
      </w:r>
    </w:p>
    <w:p>
      <w:pPr>
        <w:pStyle w:val="Corpodetexto"/>
        <w:spacing w:before="10" w:after="0"/>
        <w:ind w:left="0" w:right="0" w:hanging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left" w:pos="892" w:leader="none"/>
          <w:tab w:val="left" w:pos="893" w:leader="none"/>
        </w:tabs>
        <w:spacing w:lineRule="auto" w:line="240" w:before="0" w:after="0"/>
        <w:ind w:left="892" w:right="0" w:hanging="360"/>
        <w:jc w:val="both"/>
        <w:rPr>
          <w:sz w:val="22"/>
        </w:rPr>
      </w:pPr>
      <w:r>
        <w:rPr>
          <w:sz w:val="22"/>
        </w:rPr>
        <w:t>A pontuação que promove a alteração semântica</w:t>
      </w:r>
      <w:r>
        <w:rPr>
          <w:spacing w:val="-8"/>
          <w:sz w:val="22"/>
        </w:rPr>
        <w:t xml:space="preserve"> </w:t>
      </w:r>
      <w:r>
        <w:rPr>
          <w:sz w:val="22"/>
        </w:rPr>
        <w:t>(O.S.Adj.);</w:t>
      </w:r>
    </w:p>
    <w:p>
      <w:pPr>
        <w:pStyle w:val="ListParagraph"/>
        <w:numPr>
          <w:ilvl w:val="0"/>
          <w:numId w:val="1"/>
        </w:numPr>
        <w:tabs>
          <w:tab w:val="left" w:pos="892" w:leader="none"/>
          <w:tab w:val="left" w:pos="893" w:leader="none"/>
        </w:tabs>
        <w:spacing w:lineRule="auto" w:line="240" w:before="0" w:after="0"/>
        <w:ind w:left="892" w:right="0" w:hanging="360"/>
        <w:jc w:val="both"/>
        <w:rPr>
          <w:sz w:val="22"/>
        </w:rPr>
      </w:pPr>
      <w:r>
        <w:rPr>
          <w:sz w:val="22"/>
        </w:rPr>
        <w:t>O verbo “haver” como</w:t>
      </w:r>
      <w:r>
        <w:rPr>
          <w:spacing w:val="-1"/>
          <w:sz w:val="22"/>
        </w:rPr>
        <w:t xml:space="preserve"> </w:t>
      </w:r>
      <w:r>
        <w:rPr>
          <w:sz w:val="22"/>
        </w:rPr>
        <w:t>VTD;</w:t>
      </w:r>
    </w:p>
    <w:p>
      <w:pPr>
        <w:pStyle w:val="ListParagraph"/>
        <w:numPr>
          <w:ilvl w:val="0"/>
          <w:numId w:val="1"/>
        </w:numPr>
        <w:tabs>
          <w:tab w:val="left" w:pos="892" w:leader="none"/>
          <w:tab w:val="left" w:pos="893" w:leader="none"/>
        </w:tabs>
        <w:spacing w:lineRule="auto" w:line="240" w:before="0" w:after="0"/>
        <w:ind w:left="892" w:right="337" w:hanging="360"/>
        <w:jc w:val="both"/>
        <w:rPr/>
      </w:pPr>
      <w:r>
        <w:rPr>
          <w:sz w:val="22"/>
        </w:rPr>
        <w:t>A correlação entre o pretérito mais-que-perfeito simples e composto (caiu na última prova do TST; por isso, eu “sentia” que cairia de novo. Gravei até uma dica de 2 minutos sobre o assunto para o YouTube do Gran Cursos</w:t>
      </w:r>
      <w:r>
        <w:rPr>
          <w:spacing w:val="-10"/>
          <w:sz w:val="22"/>
        </w:rPr>
        <w:t xml:space="preserve"> </w:t>
      </w:r>
      <w:r>
        <w:rPr>
          <w:sz w:val="22"/>
        </w:rPr>
        <w:t>Online);</w:t>
      </w:r>
    </w:p>
    <w:p>
      <w:pPr>
        <w:pStyle w:val="ListParagraph"/>
        <w:numPr>
          <w:ilvl w:val="0"/>
          <w:numId w:val="1"/>
        </w:numPr>
        <w:tabs>
          <w:tab w:val="left" w:pos="892" w:leader="none"/>
          <w:tab w:val="left" w:pos="893" w:leader="none"/>
        </w:tabs>
        <w:spacing w:lineRule="auto" w:line="235" w:before="3" w:after="0"/>
        <w:ind w:left="892" w:right="757" w:hanging="360"/>
        <w:jc w:val="both"/>
        <w:rPr>
          <w:sz w:val="22"/>
        </w:rPr>
      </w:pPr>
      <w:r>
        <w:rPr>
          <w:sz w:val="22"/>
        </w:rPr>
        <w:t>A análise semântica das orações subordinadas adverbiais (devido à ausência da conjunção);</w:t>
      </w:r>
    </w:p>
    <w:p>
      <w:pPr>
        <w:pStyle w:val="ListParagraph"/>
        <w:numPr>
          <w:ilvl w:val="0"/>
          <w:numId w:val="1"/>
        </w:numPr>
        <w:tabs>
          <w:tab w:val="left" w:pos="892" w:leader="none"/>
          <w:tab w:val="left" w:pos="893" w:leader="none"/>
        </w:tabs>
        <w:spacing w:lineRule="auto" w:line="240" w:before="0" w:after="0"/>
        <w:ind w:left="892" w:right="0" w:hanging="360"/>
        <w:jc w:val="both"/>
        <w:rPr>
          <w:sz w:val="22"/>
        </w:rPr>
      </w:pPr>
      <w:r>
        <w:rPr>
          <w:sz w:val="22"/>
        </w:rPr>
        <w:t>A necessidade de entender que, para a FCC, o sujeito posposto é quase</w:t>
      </w:r>
      <w:r>
        <w:rPr>
          <w:spacing w:val="-15"/>
          <w:sz w:val="22"/>
        </w:rPr>
        <w:t xml:space="preserve"> </w:t>
      </w:r>
      <w:r>
        <w:rPr>
          <w:sz w:val="22"/>
        </w:rPr>
        <w:t>normal;</w:t>
      </w:r>
    </w:p>
    <w:p>
      <w:pPr>
        <w:pStyle w:val="ListParagraph"/>
        <w:numPr>
          <w:ilvl w:val="0"/>
          <w:numId w:val="1"/>
        </w:numPr>
        <w:tabs>
          <w:tab w:val="left" w:pos="892" w:leader="none"/>
          <w:tab w:val="left" w:pos="893" w:leader="none"/>
        </w:tabs>
        <w:spacing w:lineRule="auto" w:line="240" w:before="0" w:after="0"/>
        <w:ind w:left="892" w:right="0" w:hanging="360"/>
        <w:jc w:val="both"/>
        <w:rPr>
          <w:sz w:val="22"/>
        </w:rPr>
      </w:pPr>
      <w:r>
        <w:rPr>
          <w:sz w:val="22"/>
        </w:rPr>
        <w:t>A análise dos pronomes oblíquos como complementos</w:t>
      </w:r>
      <w:r>
        <w:rPr>
          <w:spacing w:val="-3"/>
          <w:sz w:val="22"/>
        </w:rPr>
        <w:t xml:space="preserve"> </w:t>
      </w:r>
      <w:r>
        <w:rPr>
          <w:sz w:val="22"/>
        </w:rPr>
        <w:t>verbais.</w:t>
      </w:r>
    </w:p>
    <w:p>
      <w:pPr>
        <w:pStyle w:val="Corpodetexto"/>
        <w:ind w:left="0" w:right="0" w:hanging="0"/>
        <w:jc w:val="both"/>
        <w:rPr/>
      </w:pPr>
      <w:r>
        <w:rPr/>
      </w:r>
    </w:p>
    <w:p>
      <w:pPr>
        <w:pStyle w:val="Corpodetexto"/>
        <w:ind w:left="122" w:right="0" w:hanging="0"/>
        <w:jc w:val="both"/>
        <w:rPr/>
      </w:pPr>
      <w:r>
        <w:rPr/>
        <w:t>Infelizmente, há um recurso para a prova de técnico (questão 11). Por eliminação, era possível chegar à resposta correta. Todavia, a questão não possui gabarito. Veja o recurso que deve ser interposto:</w:t>
      </w:r>
    </w:p>
    <w:p>
      <w:pPr>
        <w:pStyle w:val="Corpodetexto"/>
        <w:spacing w:before="9" w:after="0"/>
        <w:ind w:left="0" w:right="0" w:hanging="0"/>
        <w:jc w:val="both"/>
        <w:rPr>
          <w:sz w:val="21"/>
        </w:rPr>
      </w:pPr>
      <w:r>
        <w:rPr>
          <w:sz w:val="21"/>
        </w:rPr>
      </w:r>
    </w:p>
    <w:p>
      <w:pPr>
        <w:pStyle w:val="Corpodetexto"/>
        <w:spacing w:before="1" w:after="0"/>
        <w:ind w:left="122" w:right="0" w:hanging="0"/>
        <w:jc w:val="both"/>
        <w:rPr/>
      </w:pPr>
      <w:r>
        <w:rPr/>
        <w:t>RECURSO</w:t>
      </w:r>
    </w:p>
    <w:p>
      <w:pPr>
        <w:pStyle w:val="Corpodetexto"/>
        <w:ind w:left="0" w:right="0" w:hanging="0"/>
        <w:jc w:val="both"/>
        <w:rPr/>
      </w:pPr>
      <w:r>
        <w:rPr/>
      </w:r>
    </w:p>
    <w:p>
      <w:pPr>
        <w:pStyle w:val="Corpodetexto"/>
        <w:ind w:left="122" w:right="96" w:hanging="0"/>
        <w:jc w:val="both"/>
        <w:rPr/>
      </w:pPr>
      <w:r>
        <w:rPr/>
        <w:t>Solicita-se à banca a anulação da questão 11, uma vez que não há alternativa correta para ser marcada (apenas a afirmação III está correta). A afirmação I, diferentemente do que é sugerido pela banca, está incorreta, porque, com o isolamento por vírgulas da expressão “recrutados na</w:t>
      </w:r>
    </w:p>
    <w:p>
      <w:pPr>
        <w:sectPr>
          <w:type w:val="nextPage"/>
          <w:pgSz w:w="11906" w:h="16838"/>
          <w:pgMar w:left="1580" w:right="1600" w:header="0" w:top="800" w:footer="0" w:bottom="280" w:gutter="0"/>
          <w:pgNumType w:fmt="decimal"/>
          <w:formProt w:val="false"/>
          <w:textDirection w:val="lrTb"/>
        </w:sectPr>
      </w:pPr>
    </w:p>
    <w:p>
      <w:pPr>
        <w:pStyle w:val="Corpodetexto"/>
        <w:pageBreakBefore w:val="false"/>
        <w:spacing w:before="30" w:after="0"/>
        <w:ind w:left="122" w:right="98" w:hanging="0"/>
        <w:jc w:val="both"/>
        <w:rPr/>
      </w:pPr>
      <w:r>
        <w:rPr/>
      </w:r>
    </w:p>
    <w:p>
      <w:pPr>
        <w:pStyle w:val="Corpodetexto"/>
        <w:spacing w:before="30" w:after="0"/>
        <w:ind w:left="122" w:right="98" w:hanging="0"/>
        <w:jc w:val="both"/>
        <w:rPr/>
      </w:pPr>
      <w:r>
        <w:rPr/>
      </w:r>
    </w:p>
    <w:p>
      <w:pPr>
        <w:pStyle w:val="Corpodetexto"/>
        <w:spacing w:before="30" w:after="0"/>
        <w:ind w:left="122" w:right="98" w:hanging="0"/>
        <w:jc w:val="both"/>
        <w:rPr/>
      </w:pPr>
      <w:r>
        <w:rPr/>
      </w:r>
    </w:p>
    <w:p>
      <w:pPr>
        <w:pStyle w:val="Corpodetexto"/>
        <w:spacing w:before="30" w:after="0"/>
        <w:ind w:left="122" w:right="98" w:hanging="0"/>
        <w:jc w:val="both"/>
        <w:rPr/>
      </w:pPr>
      <w:r>
        <w:rPr/>
        <w:t>Academia Hércules”, haveria alteração semântica. Do trecho original (sem as vírgulas) é possível inferir que há dois tipos “parrudos halterofilistas”(os que foram recrutados na Academia Hércules e os que não foram). Com a colocação das vírgulas, entende-se que todos os “parrudos halterofilistas” foram recrutados na Academia Hércules. Essa alteração semântica torna a afirmação I incorreta.</w:t>
      </w:r>
    </w:p>
    <w:p>
      <w:pPr>
        <w:pStyle w:val="Corpodetexto"/>
        <w:ind w:left="0" w:right="0" w:hanging="0"/>
        <w:jc w:val="both"/>
        <w:rPr/>
      </w:pPr>
      <w:r>
        <w:rPr/>
      </w:r>
    </w:p>
    <w:p>
      <w:pPr>
        <w:pStyle w:val="Corpodetexto"/>
        <w:ind w:left="122" w:right="0" w:hanging="0"/>
        <w:jc w:val="both"/>
        <w:rPr/>
      </w:pPr>
      <w:r>
        <w:rPr/>
        <w:t>Resumo:</w:t>
      </w:r>
    </w:p>
    <w:p>
      <w:pPr>
        <w:pStyle w:val="Corpodetexto"/>
        <w:ind w:left="122" w:right="257" w:hanging="0"/>
        <w:jc w:val="both"/>
        <w:rPr/>
      </w:pPr>
      <w:r>
        <w:rPr/>
        <w:t>A FCC não me surpreendeu (e espero que o mesmo tenha ocorrido com os meus alunos, uma vez que todos os assuntos cobrados na prova foram exaustivamente abordados por mim nos cursos e nas aulas gratuitas). Minha sensação é a de dever cumprido! Estou ansioso para a próxima prova da FCC!</w:t>
      </w:r>
    </w:p>
    <w:p>
      <w:pPr>
        <w:pStyle w:val="Corpodetexto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122" w:right="0" w:hanging="0"/>
        <w:jc w:val="both"/>
        <w:rPr>
          <w:b/>
          <w:b/>
          <w:sz w:val="24"/>
        </w:rPr>
      </w:pPr>
      <w:r>
        <w:rPr>
          <w:b/>
          <w:color w:val="0000FF"/>
          <w:sz w:val="24"/>
        </w:rPr>
        <w:t>Professor Elias Santana</w:t>
      </w:r>
    </w:p>
    <w:p>
      <w:pPr>
        <w:pStyle w:val="Corpodetexto"/>
        <w:spacing w:before="11" w:after="0"/>
        <w:ind w:left="0" w:right="0" w:hanging="0"/>
        <w:jc w:val="both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texto"/>
        <w:ind w:left="2006" w:right="92" w:hanging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1076325</wp:posOffset>
            </wp:positionH>
            <wp:positionV relativeFrom="paragraph">
              <wp:posOffset>1270</wp:posOffset>
            </wp:positionV>
            <wp:extent cx="1085850" cy="108585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L</w:t>
      </w:r>
      <w:r>
        <w:rPr>
          <w:color w:val="333333"/>
        </w:rPr>
        <w:t>icenciado em Letras</w:t>
      </w:r>
      <w:r>
        <w:rPr>
          <w:color w:val="333333"/>
        </w:rPr>
        <w:t xml:space="preserve"> – </w:t>
      </w:r>
      <w:r>
        <w:rPr>
          <w:color w:val="333333"/>
        </w:rPr>
        <w:t>Língua Portuguesa e Respectiva Literatura</w:t>
      </w:r>
      <w:r>
        <w:rPr>
          <w:color w:val="333333"/>
        </w:rPr>
        <w:t xml:space="preserve"> – </w:t>
      </w:r>
      <w:r>
        <w:rPr>
          <w:color w:val="333333"/>
        </w:rPr>
        <w:t>pela Universidade de Brasília. Possui mestrado pela mesma instituição, na área de concentração "Gramática</w:t>
      </w:r>
      <w:r>
        <w:rPr>
          <w:color w:val="333333"/>
        </w:rPr>
        <w:t xml:space="preserve"> – </w:t>
      </w:r>
      <w:r>
        <w:rPr>
          <w:color w:val="333333"/>
        </w:rPr>
        <w:t>Teoria e Análise", com enfoque em ensino de gramática. Foi servidor da Secretaria de Educação do DF, além de professor em vários colégios e cursos preparatórios. Ministra aulas de gramática, redação discursiva e interpretação de textos. Ademais, é escritor, com uma obra literária já publicada. Por essa razão, recebeu</w:t>
      </w:r>
    </w:p>
    <w:p>
      <w:pPr>
        <w:pStyle w:val="Corpodetexto"/>
        <w:ind w:left="122" w:right="0" w:hanging="0"/>
        <w:jc w:val="both"/>
        <w:rPr/>
      </w:pPr>
      <w:r>
        <w:rPr>
          <w:color w:val="333333"/>
        </w:rPr>
        <w:t>Moção de Louvor da Câmara Legislativa do Distrito Federal.</w:t>
      </w:r>
    </w:p>
    <w:p>
      <w:pPr>
        <w:pStyle w:val="Corpodetexto"/>
        <w:spacing w:before="11" w:after="0"/>
        <w:ind w:left="0" w:right="0" w:hanging="0"/>
        <w:jc w:val="both"/>
        <w:rPr>
          <w:sz w:val="27"/>
        </w:rPr>
      </w:pPr>
      <w:r>
        <w:rPr>
          <w:sz w:val="27"/>
        </w:rPr>
      </w:r>
    </w:p>
    <w:p>
      <w:pPr>
        <w:pStyle w:val="Ttulo1"/>
        <w:ind w:left="0" w:right="100" w:hanging="0"/>
        <w:jc w:val="right"/>
        <w:rPr>
          <w:u w:val="none" w:color="0000FF"/>
        </w:rPr>
      </w:pPr>
      <w:r>
        <w:rPr>
          <w:color w:val="0000FF"/>
          <w:u w:val="none" w:color="0000FF"/>
        </w:rPr>
        <w:t>Gran Cursos Online</w:t>
      </w:r>
    </w:p>
    <w:sectPr>
      <w:type w:val="continuous"/>
      <w:pgSz w:w="11906" w:h="16838"/>
      <w:pgMar w:left="1580" w:right="1600" w:header="0" w:top="80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92" w:hanging="360"/>
      </w:pPr>
      <w:rPr>
        <w:rFonts w:ascii="Symbol" w:hAnsi="Symbol" w:cs="Symbol" w:hint="default"/>
        <w:sz w:val="22"/>
        <w:szCs w:val="22"/>
        <w:w w:val="100"/>
        <w:rFonts w:cs="Symbol"/>
      </w:rPr>
    </w:lvl>
    <w:lvl w:ilvl="1">
      <w:start w:val="0"/>
      <w:numFmt w:val="bullet"/>
      <w:lvlText w:val=""/>
      <w:lvlJc w:val="left"/>
      <w:pPr>
        <w:ind w:left="168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46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03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81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37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161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842" w:hanging="360"/>
      </w:pPr>
      <w:rPr>
        <w:sz w:val="22"/>
        <w:szCs w:val="22"/>
        <w:w w:val="100"/>
        <w:rFonts w:eastAsia="Calibri" w:cs="Calibri"/>
      </w:rPr>
    </w:lvl>
    <w:lvl w:ilvl="1">
      <w:start w:val="0"/>
      <w:numFmt w:val="bullet"/>
      <w:lvlText w:val=""/>
      <w:lvlJc w:val="left"/>
      <w:pPr>
        <w:ind w:left="162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41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20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99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78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57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149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100"/>
      <w:sz w:val="22"/>
      <w:szCs w:val="22"/>
    </w:rPr>
  </w:style>
  <w:style w:type="character" w:styleId="ListLabel2">
    <w:name w:val="ListLabel 2"/>
    <w:qFormat/>
    <w:rPr>
      <w:rFonts w:eastAsia="Calibri" w:cs="Calibri"/>
      <w:w w:val="100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842" w:right="0" w:hanging="0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Corpode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842" w:right="0" w:hanging="360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LibreOffice/5.1.6.2$Windows_x86 LibreOffice_project/07ac168c60a517dba0f0d7bc7540f5afa45f0909</Application>
  <Pages>2</Pages>
  <Words>550</Words>
  <Characters>2963</Characters>
  <CharactersWithSpaces>3461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2017-11-23T16:47:19Z</dcterms:created>
  <dc:creator>Elias Gomes Santana</dc:creator>
  <dc:description/>
  <dc:language>pt-BR</dc:language>
  <cp:lastModifiedBy/>
  <dcterms:modified xsi:type="dcterms:W3CDTF">2017-11-23T15:16:24Z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2017-11-23T00:00:00Z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